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DA0717" w14:textId="77777777" w:rsidR="0007646F" w:rsidRPr="0007646F" w:rsidRDefault="0007646F" w:rsidP="0007646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7646F">
        <w:rPr>
          <w:rFonts w:ascii="Segoe UI" w:eastAsia="Times New Roman" w:hAnsi="Segoe UI" w:cs="Segoe UI"/>
          <w:b/>
          <w:bCs/>
          <w:kern w:val="0"/>
          <w:sz w:val="36"/>
          <w:szCs w:val="36"/>
          <w14:ligatures w14:val="none"/>
        </w:rPr>
        <w:t>Cost-Optimized CFPS Reaction Designs for sfGFP, PETase, and Reteplase</w:t>
      </w:r>
    </w:p>
    <w:p w14:paraId="574EECC6"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 xml:space="preserve">The goal of this project is to reduce the </w:t>
      </w:r>
      <w:r w:rsidRPr="0007646F">
        <w:rPr>
          <w:rFonts w:ascii="Segoe UI" w:eastAsia="Times New Roman" w:hAnsi="Segoe UI" w:cs="Segoe UI"/>
          <w:b/>
          <w:bCs/>
          <w:kern w:val="0"/>
          <w:sz w:val="21"/>
          <w:szCs w:val="21"/>
          <w14:ligatures w14:val="none"/>
        </w:rPr>
        <w:t>cost per gram of functional protein produced</w:t>
      </w:r>
      <w:r w:rsidRPr="0007646F">
        <w:rPr>
          <w:rFonts w:ascii="Segoe UI" w:eastAsia="Times New Roman" w:hAnsi="Segoe UI" w:cs="Segoe UI"/>
          <w:kern w:val="0"/>
          <w:sz w:val="21"/>
          <w:szCs w:val="21"/>
          <w14:ligatures w14:val="none"/>
        </w:rPr>
        <w:t xml:space="preserve"> while maintaining compatibility with Ginkgo's CFPS platform. Because each target protein has different folding requirements, I designed three distinct reaction compositions that balance reagent cost against the likelihood of producing active protein. My designs focus on minimizing expensive additives where possible while including specialized components only when they are expected to improve protein yield or folding.</w:t>
      </w:r>
    </w:p>
    <w:p w14:paraId="09DE4598" w14:textId="77777777" w:rsidR="0007646F" w:rsidRPr="0007646F" w:rsidRDefault="0007646F" w:rsidP="0007646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7646F">
        <w:rPr>
          <w:rFonts w:ascii="Segoe UI" w:eastAsia="Times New Roman" w:hAnsi="Segoe UI" w:cs="Segoe UI"/>
          <w:b/>
          <w:bCs/>
          <w:kern w:val="0"/>
          <w:sz w:val="27"/>
          <w:szCs w:val="27"/>
          <w14:ligatures w14:val="none"/>
        </w:rPr>
        <w:t>Design 1: sfGFP (Superfolder Green Fluorescent Protein)</w:t>
      </w:r>
    </w:p>
    <w:p w14:paraId="2F208DA5"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sfGFP is the simplest target because it folds efficiently and does not require disulfide bonds. Therefore, I designed a low-cost reducing formulation that emphasizes efficient transcription and translation while avoiding expensive folding additives.</w:t>
      </w:r>
    </w:p>
    <w:p w14:paraId="0EE6B9FA"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Proposed Variable Components</w:t>
      </w:r>
    </w:p>
    <w:p w14:paraId="447966CA" w14:textId="77777777" w:rsidR="0007646F" w:rsidRPr="0007646F" w:rsidRDefault="0007646F" w:rsidP="0007646F">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Potassium glutamate</w:t>
      </w:r>
    </w:p>
    <w:p w14:paraId="00692B5A" w14:textId="77777777" w:rsidR="0007646F" w:rsidRPr="0007646F" w:rsidRDefault="0007646F" w:rsidP="0007646F">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Magnesium glutamate</w:t>
      </w:r>
    </w:p>
    <w:p w14:paraId="5DB0D89C" w14:textId="77777777" w:rsidR="0007646F" w:rsidRPr="0007646F" w:rsidRDefault="0007646F" w:rsidP="0007646F">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Amino acid mixture</w:t>
      </w:r>
    </w:p>
    <w:p w14:paraId="6472CC5C" w14:textId="77777777" w:rsidR="0007646F" w:rsidRPr="0007646F" w:rsidRDefault="0007646F" w:rsidP="0007646F">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ATP</w:t>
      </w:r>
    </w:p>
    <w:p w14:paraId="2316DF08" w14:textId="77777777" w:rsidR="0007646F" w:rsidRPr="0007646F" w:rsidRDefault="0007646F" w:rsidP="0007646F">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Reduced concentrations of CTP, GTP, and UTP</w:t>
      </w:r>
    </w:p>
    <w:p w14:paraId="3F77082E" w14:textId="77777777" w:rsidR="0007646F" w:rsidRPr="0007646F" w:rsidRDefault="0007646F" w:rsidP="0007646F">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Phosphoenolpyruvate (PEP)</w:t>
      </w:r>
    </w:p>
    <w:p w14:paraId="5481911F" w14:textId="77777777" w:rsidR="0007646F" w:rsidRPr="0007646F" w:rsidRDefault="0007646F" w:rsidP="0007646F">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Folinic acid</w:t>
      </w:r>
    </w:p>
    <w:p w14:paraId="09A925E3" w14:textId="77777777" w:rsidR="0007646F" w:rsidRPr="0007646F" w:rsidRDefault="0007646F" w:rsidP="0007646F">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Spermidine</w:t>
      </w:r>
    </w:p>
    <w:p w14:paraId="391F1DDA" w14:textId="77777777" w:rsidR="0007646F" w:rsidRPr="0007646F" w:rsidRDefault="0007646F" w:rsidP="0007646F">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Nuclease-free water to complete the remaining volume</w:t>
      </w:r>
    </w:p>
    <w:p w14:paraId="79C90A5C"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Design Rationale</w:t>
      </w:r>
    </w:p>
    <w:p w14:paraId="309F6748"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This formulation uses inexpensive salts and energy-regeneration components to support transcription and translation. Because sfGFP folds reliably without assistance, no disulfide-bond reagents or folding chaperones are included. Spermidine and folinic acid are retained because they can enhance translation efficiency at relatively low cost. By eliminating unnecessary additives, the overall reaction cost is minimized while maintaining a high likelihood of producing active fluorescent protein.</w:t>
      </w:r>
    </w:p>
    <w:p w14:paraId="6E49F25F" w14:textId="77777777" w:rsidR="0007646F" w:rsidRPr="0007646F" w:rsidRDefault="00076373" w:rsidP="0007646F">
      <w:pPr>
        <w:spacing w:after="0" w:line="300" w:lineRule="atLeast"/>
        <w:rPr>
          <w:rFonts w:ascii="Segoe UI" w:eastAsia="Times New Roman" w:hAnsi="Segoe UI" w:cs="Segoe UI"/>
          <w:kern w:val="0"/>
          <w:sz w:val="21"/>
          <w:szCs w:val="21"/>
          <w14:ligatures w14:val="none"/>
        </w:rPr>
      </w:pPr>
      <w:r w:rsidRPr="00076373">
        <w:rPr>
          <w:rFonts w:ascii="Segoe UI" w:eastAsia="Times New Roman" w:hAnsi="Segoe UI" w:cs="Segoe UI"/>
          <w:noProof/>
          <w:kern w:val="0"/>
          <w:sz w:val="21"/>
          <w:szCs w:val="21"/>
        </w:rPr>
        <w:pict w14:anchorId="2099F67A">
          <v:rect id="_x0000_i1032" style="width:0;height:1.5pt" o:hralign="center" o:hrstd="t" o:hr="t" fillcolor="#a0a0a0" stroked="f"/>
        </w:pict>
      </w:r>
    </w:p>
    <w:p w14:paraId="25E40FB7" w14:textId="77777777" w:rsidR="0007646F" w:rsidRPr="0007646F" w:rsidRDefault="0007646F" w:rsidP="0007646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7646F">
        <w:rPr>
          <w:rFonts w:ascii="Segoe UI" w:eastAsia="Times New Roman" w:hAnsi="Segoe UI" w:cs="Segoe UI"/>
          <w:b/>
          <w:bCs/>
          <w:kern w:val="0"/>
          <w:sz w:val="27"/>
          <w:szCs w:val="27"/>
          <w14:ligatures w14:val="none"/>
        </w:rPr>
        <w:t>Design 2: PETase (TfCut2)</w:t>
      </w:r>
    </w:p>
    <w:p w14:paraId="393B93DB"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lastRenderedPageBreak/>
        <w:t>PETase is more difficult to express than sfGFP because it is an enzyme that contains one disulfide bond. However, the assignment states that PETase can still be expressed under standard reducing CFPS conditions. The design therefore focuses on improving enzyme solubility and activity without incurring the added expense of a full oxidizing formulation.</w:t>
      </w:r>
    </w:p>
    <w:p w14:paraId="3DA41120"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Proposed Variable Components</w:t>
      </w:r>
    </w:p>
    <w:p w14:paraId="5A31C6EC" w14:textId="77777777" w:rsidR="0007646F" w:rsidRPr="0007646F" w:rsidRDefault="0007646F" w:rsidP="0007646F">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Potassium glutamate</w:t>
      </w:r>
    </w:p>
    <w:p w14:paraId="42A944D2" w14:textId="77777777" w:rsidR="0007646F" w:rsidRPr="0007646F" w:rsidRDefault="0007646F" w:rsidP="0007646F">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Magnesium glutamate</w:t>
      </w:r>
    </w:p>
    <w:p w14:paraId="72C1F424" w14:textId="77777777" w:rsidR="0007646F" w:rsidRPr="0007646F" w:rsidRDefault="0007646F" w:rsidP="0007646F">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Amino acid mixture</w:t>
      </w:r>
    </w:p>
    <w:p w14:paraId="15C010B4" w14:textId="77777777" w:rsidR="0007646F" w:rsidRPr="0007646F" w:rsidRDefault="0007646F" w:rsidP="0007646F">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ATP</w:t>
      </w:r>
    </w:p>
    <w:p w14:paraId="044D7407" w14:textId="77777777" w:rsidR="0007646F" w:rsidRPr="0007646F" w:rsidRDefault="0007646F" w:rsidP="0007646F">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Reduced concentrations of CTP, GTP, and UTP</w:t>
      </w:r>
    </w:p>
    <w:p w14:paraId="2A68F195" w14:textId="77777777" w:rsidR="0007646F" w:rsidRPr="0007646F" w:rsidRDefault="0007646F" w:rsidP="0007646F">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Phosphoenolpyruvate (PEP)</w:t>
      </w:r>
    </w:p>
    <w:p w14:paraId="1708AE15" w14:textId="77777777" w:rsidR="0007646F" w:rsidRPr="0007646F" w:rsidRDefault="0007646F" w:rsidP="0007646F">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Folinic acid</w:t>
      </w:r>
    </w:p>
    <w:p w14:paraId="430B2403" w14:textId="77777777" w:rsidR="0007646F" w:rsidRPr="0007646F" w:rsidRDefault="0007646F" w:rsidP="0007646F">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Spermidine</w:t>
      </w:r>
    </w:p>
    <w:p w14:paraId="1D714C67" w14:textId="77777777" w:rsidR="0007646F" w:rsidRPr="0007646F" w:rsidRDefault="0007646F" w:rsidP="0007646F">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Small amount of Brij-35</w:t>
      </w:r>
    </w:p>
    <w:p w14:paraId="1E8CBF92" w14:textId="77777777" w:rsidR="0007646F" w:rsidRPr="0007646F" w:rsidRDefault="0007646F" w:rsidP="0007646F">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Nuclease-free water to complete the remaining volume</w:t>
      </w:r>
    </w:p>
    <w:p w14:paraId="189E07B4"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Design Rationale</w:t>
      </w:r>
    </w:p>
    <w:p w14:paraId="019A38B2"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PETase performance depends not only on protein production but also on folding into an active catalytic enzyme. The formulation retains the economical core used for sfGFP while adding a small amount of Brij-35 to improve solubility and reduce aggregation. Because PETase requires only one disulfide bond and can function under reducing conditions, expensive oxidizing reagents such as DsbC, GSSG, and GSH are omitted. This strategy aims to improve active enzyme yield while maintaining a low overall reaction cost.</w:t>
      </w:r>
    </w:p>
    <w:p w14:paraId="147DAFE7" w14:textId="77777777" w:rsidR="0007646F" w:rsidRPr="0007646F" w:rsidRDefault="00076373" w:rsidP="0007646F">
      <w:pPr>
        <w:spacing w:after="0" w:line="300" w:lineRule="atLeast"/>
        <w:rPr>
          <w:rFonts w:ascii="Segoe UI" w:eastAsia="Times New Roman" w:hAnsi="Segoe UI" w:cs="Segoe UI"/>
          <w:kern w:val="0"/>
          <w:sz w:val="21"/>
          <w:szCs w:val="21"/>
          <w14:ligatures w14:val="none"/>
        </w:rPr>
      </w:pPr>
      <w:r w:rsidRPr="00076373">
        <w:rPr>
          <w:rFonts w:ascii="Segoe UI" w:eastAsia="Times New Roman" w:hAnsi="Segoe UI" w:cs="Segoe UI"/>
          <w:noProof/>
          <w:kern w:val="0"/>
          <w:sz w:val="21"/>
          <w:szCs w:val="21"/>
        </w:rPr>
        <w:pict w14:anchorId="16E2D586">
          <v:rect id="_x0000_i1031" style="width:0;height:1.5pt" o:hralign="center" o:hrstd="t" o:hr="t" fillcolor="#a0a0a0" stroked="f"/>
        </w:pict>
      </w:r>
    </w:p>
    <w:p w14:paraId="34D1DCFA" w14:textId="77777777" w:rsidR="0007646F" w:rsidRPr="0007646F" w:rsidRDefault="0007646F" w:rsidP="0007646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7646F">
        <w:rPr>
          <w:rFonts w:ascii="Segoe UI" w:eastAsia="Times New Roman" w:hAnsi="Segoe UI" w:cs="Segoe UI"/>
          <w:b/>
          <w:bCs/>
          <w:kern w:val="0"/>
          <w:sz w:val="27"/>
          <w:szCs w:val="27"/>
          <w14:ligatures w14:val="none"/>
        </w:rPr>
        <w:t>Design 3: Reteplase</w:t>
      </w:r>
    </w:p>
    <w:p w14:paraId="721740AA"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Reteplase is the most challenging target because it contains nine disulfide bonds that must form correctly for biological activity. Unlike sfGFP and PETase, successful production of active Reteplase requires an oxidizing environment and disulfide-bond formation machinery.</w:t>
      </w:r>
    </w:p>
    <w:p w14:paraId="0118BA27"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Proposed Variable Components</w:t>
      </w:r>
    </w:p>
    <w:p w14:paraId="2CAA13C1" w14:textId="77777777" w:rsidR="0007646F" w:rsidRPr="0007646F" w:rsidRDefault="0007646F" w:rsidP="0007646F">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Potassium glutamate</w:t>
      </w:r>
    </w:p>
    <w:p w14:paraId="13C4A5B0" w14:textId="77777777" w:rsidR="0007646F" w:rsidRPr="0007646F" w:rsidRDefault="0007646F" w:rsidP="0007646F">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Magnesium glutamate</w:t>
      </w:r>
    </w:p>
    <w:p w14:paraId="7A15165B" w14:textId="77777777" w:rsidR="0007646F" w:rsidRPr="0007646F" w:rsidRDefault="0007646F" w:rsidP="0007646F">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Amino acid mixture</w:t>
      </w:r>
    </w:p>
    <w:p w14:paraId="16079936" w14:textId="77777777" w:rsidR="0007646F" w:rsidRPr="0007646F" w:rsidRDefault="0007646F" w:rsidP="0007646F">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ATP</w:t>
      </w:r>
    </w:p>
    <w:p w14:paraId="3C8D56F4" w14:textId="77777777" w:rsidR="0007646F" w:rsidRPr="0007646F" w:rsidRDefault="0007646F" w:rsidP="0007646F">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CTP, GTP, and UTP</w:t>
      </w:r>
    </w:p>
    <w:p w14:paraId="154D9A2C" w14:textId="77777777" w:rsidR="0007646F" w:rsidRPr="0007646F" w:rsidRDefault="0007646F" w:rsidP="0007646F">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Phosphoenolpyruvate (PEP)</w:t>
      </w:r>
    </w:p>
    <w:p w14:paraId="5D20410E" w14:textId="77777777" w:rsidR="0007646F" w:rsidRPr="0007646F" w:rsidRDefault="0007646F" w:rsidP="0007646F">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lastRenderedPageBreak/>
        <w:t>Folinic acid</w:t>
      </w:r>
    </w:p>
    <w:p w14:paraId="396CA355" w14:textId="77777777" w:rsidR="0007646F" w:rsidRPr="0007646F" w:rsidRDefault="0007646F" w:rsidP="0007646F">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Spermidine</w:t>
      </w:r>
    </w:p>
    <w:p w14:paraId="17C2C747" w14:textId="77777777" w:rsidR="0007646F" w:rsidRPr="0007646F" w:rsidRDefault="0007646F" w:rsidP="0007646F">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Oxidized glutathione (GSSG)</w:t>
      </w:r>
    </w:p>
    <w:p w14:paraId="2663A8A4" w14:textId="77777777" w:rsidR="0007646F" w:rsidRPr="0007646F" w:rsidRDefault="0007646F" w:rsidP="0007646F">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Reduced glutathione (GSH)</w:t>
      </w:r>
    </w:p>
    <w:p w14:paraId="584957BF" w14:textId="77777777" w:rsidR="0007646F" w:rsidRPr="0007646F" w:rsidRDefault="0007646F" w:rsidP="0007646F">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DsbC</w:t>
      </w:r>
    </w:p>
    <w:p w14:paraId="10B80EC2" w14:textId="77777777" w:rsidR="0007646F" w:rsidRPr="0007646F" w:rsidRDefault="0007646F" w:rsidP="0007646F">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Nuclease-free water to complete the remaining volume</w:t>
      </w:r>
    </w:p>
    <w:p w14:paraId="001AF030"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Design Rationale</w:t>
      </w:r>
    </w:p>
    <w:p w14:paraId="247D0E66"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Although GSSG, GSH, and DsbC increase reaction cost, they are essential for generating active Reteplase. GSSG and GSH establish a controlled oxidizing environment that promotes disulfide-bond formation, while DsbC rearranges incorrectly paired disulfides. Because improperly folded Reteplase has little or no biological activity, investing in these additives is expected to increase the amount of functional protein produced and thus lower the final cost per gram of active product despite the higher reagent cost.</w:t>
      </w:r>
    </w:p>
    <w:p w14:paraId="6C9E11EE" w14:textId="77777777" w:rsidR="0007646F" w:rsidRPr="0007646F" w:rsidRDefault="00076373" w:rsidP="0007646F">
      <w:pPr>
        <w:spacing w:after="0" w:line="300" w:lineRule="atLeast"/>
        <w:rPr>
          <w:rFonts w:ascii="Segoe UI" w:eastAsia="Times New Roman" w:hAnsi="Segoe UI" w:cs="Segoe UI"/>
          <w:kern w:val="0"/>
          <w:sz w:val="21"/>
          <w:szCs w:val="21"/>
          <w14:ligatures w14:val="none"/>
        </w:rPr>
      </w:pPr>
      <w:r w:rsidRPr="00076373">
        <w:rPr>
          <w:rFonts w:ascii="Segoe UI" w:eastAsia="Times New Roman" w:hAnsi="Segoe UI" w:cs="Segoe UI"/>
          <w:noProof/>
          <w:kern w:val="0"/>
          <w:sz w:val="21"/>
          <w:szCs w:val="21"/>
        </w:rPr>
        <w:pict w14:anchorId="2E3135B8">
          <v:rect id="_x0000_i1030" style="width:0;height:1.5pt" o:hralign="center" o:hrstd="t" o:hr="t" fillcolor="#a0a0a0" stroked="f"/>
        </w:pict>
      </w:r>
    </w:p>
    <w:p w14:paraId="0722CC81" w14:textId="77777777" w:rsidR="0007646F" w:rsidRPr="0007646F" w:rsidRDefault="0007646F" w:rsidP="0007646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7646F">
        <w:rPr>
          <w:rFonts w:ascii="Segoe UI" w:eastAsia="Times New Roman" w:hAnsi="Segoe UI" w:cs="Segoe UI"/>
          <w:b/>
          <w:bCs/>
          <w:kern w:val="0"/>
          <w:sz w:val="36"/>
          <w:szCs w:val="36"/>
          <w14:ligatures w14:val="none"/>
        </w:rPr>
        <w:t>Comparative Design Strategy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58"/>
        <w:gridCol w:w="1244"/>
        <w:gridCol w:w="2076"/>
        <w:gridCol w:w="2765"/>
      </w:tblGrid>
      <w:tr w:rsidR="0007646F" w:rsidRPr="0007646F" w14:paraId="2B05845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0C19B3" w14:textId="77777777" w:rsidR="0007646F" w:rsidRPr="0007646F" w:rsidRDefault="0007646F" w:rsidP="0007646F">
            <w:pPr>
              <w:spacing w:after="0" w:line="240" w:lineRule="auto"/>
              <w:jc w:val="center"/>
              <w:rPr>
                <w:rFonts w:ascii="Times New Roman" w:eastAsia="Times New Roman" w:hAnsi="Times New Roman" w:cs="Times New Roman"/>
                <w:b/>
                <w:bCs/>
                <w:kern w:val="0"/>
                <w14:ligatures w14:val="none"/>
              </w:rPr>
            </w:pPr>
            <w:r w:rsidRPr="0007646F">
              <w:rPr>
                <w:rFonts w:ascii="Times New Roman" w:eastAsia="Times New Roman" w:hAnsi="Times New Roman" w:cs="Times New Roman"/>
                <w:b/>
                <w:bCs/>
                <w:kern w:val="0"/>
                <w14:ligatures w14:val="none"/>
              </w:rPr>
              <w:t>Feature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42C1A5" w14:textId="77777777" w:rsidR="0007646F" w:rsidRPr="0007646F" w:rsidRDefault="0007646F" w:rsidP="0007646F">
            <w:pPr>
              <w:spacing w:after="0" w:line="240" w:lineRule="auto"/>
              <w:jc w:val="center"/>
              <w:rPr>
                <w:rFonts w:ascii="Times New Roman" w:eastAsia="Times New Roman" w:hAnsi="Times New Roman" w:cs="Times New Roman"/>
                <w:b/>
                <w:bCs/>
                <w:kern w:val="0"/>
                <w14:ligatures w14:val="none"/>
              </w:rPr>
            </w:pPr>
            <w:r w:rsidRPr="0007646F">
              <w:rPr>
                <w:rFonts w:ascii="Times New Roman" w:eastAsia="Times New Roman" w:hAnsi="Times New Roman" w:cs="Times New Roman"/>
                <w:b/>
                <w:bCs/>
                <w:kern w:val="0"/>
                <w14:ligatures w14:val="none"/>
              </w:rPr>
              <w:t>sfGFP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00B93B6" w14:textId="77777777" w:rsidR="0007646F" w:rsidRPr="0007646F" w:rsidRDefault="0007646F" w:rsidP="0007646F">
            <w:pPr>
              <w:spacing w:after="0" w:line="240" w:lineRule="auto"/>
              <w:jc w:val="center"/>
              <w:rPr>
                <w:rFonts w:ascii="Times New Roman" w:eastAsia="Times New Roman" w:hAnsi="Times New Roman" w:cs="Times New Roman"/>
                <w:b/>
                <w:bCs/>
                <w:kern w:val="0"/>
                <w14:ligatures w14:val="none"/>
              </w:rPr>
            </w:pPr>
            <w:r w:rsidRPr="0007646F">
              <w:rPr>
                <w:rFonts w:ascii="Times New Roman" w:eastAsia="Times New Roman" w:hAnsi="Times New Roman" w:cs="Times New Roman"/>
                <w:b/>
                <w:bCs/>
                <w:kern w:val="0"/>
                <w14:ligatures w14:val="none"/>
              </w:rPr>
              <w:t>PETase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2E6C81" w14:textId="77777777" w:rsidR="0007646F" w:rsidRPr="0007646F" w:rsidRDefault="0007646F" w:rsidP="0007646F">
            <w:pPr>
              <w:spacing w:after="0" w:line="240" w:lineRule="auto"/>
              <w:jc w:val="center"/>
              <w:rPr>
                <w:rFonts w:ascii="Times New Roman" w:eastAsia="Times New Roman" w:hAnsi="Times New Roman" w:cs="Times New Roman"/>
                <w:b/>
                <w:bCs/>
                <w:kern w:val="0"/>
                <w14:ligatures w14:val="none"/>
              </w:rPr>
            </w:pPr>
            <w:r w:rsidRPr="0007646F">
              <w:rPr>
                <w:rFonts w:ascii="Times New Roman" w:eastAsia="Times New Roman" w:hAnsi="Times New Roman" w:cs="Times New Roman"/>
                <w:b/>
                <w:bCs/>
                <w:kern w:val="0"/>
                <w14:ligatures w14:val="none"/>
              </w:rPr>
              <w:t>Reteplase</w:t>
            </w:r>
          </w:p>
        </w:tc>
      </w:tr>
      <w:tr w:rsidR="0007646F" w:rsidRPr="0007646F" w14:paraId="550A6CC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B26E79"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Folding difficulty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44D746"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Low</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035E91"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Moderate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4F94C1"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High</w:t>
            </w:r>
          </w:p>
        </w:tc>
      </w:tr>
      <w:tr w:rsidR="0007646F" w:rsidRPr="0007646F" w14:paraId="09E1484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FCF9A0"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Disulfide bonds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0119FD"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4EAE7D"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88D85D"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9</w:t>
            </w:r>
          </w:p>
        </w:tc>
      </w:tr>
      <w:tr w:rsidR="0007646F" w:rsidRPr="0007646F" w14:paraId="556478C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9F3D4A"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Reducing formulation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FF03C4"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Yes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4065C6"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Yes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8D222A"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No</w:t>
            </w:r>
          </w:p>
        </w:tc>
      </w:tr>
      <w:tr w:rsidR="0007646F" w:rsidRPr="0007646F" w14:paraId="332C070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7B3E9F"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Oxidizing formulation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1E0DB0"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FFEE0E"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5C761C"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Yes</w:t>
            </w:r>
          </w:p>
        </w:tc>
      </w:tr>
      <w:tr w:rsidR="0007646F" w:rsidRPr="0007646F" w14:paraId="407EF29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15B4B7"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DsbC included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C293EA"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B16422"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5B23F3"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Yes</w:t>
            </w:r>
          </w:p>
        </w:tc>
      </w:tr>
      <w:tr w:rsidR="0007646F" w:rsidRPr="0007646F" w14:paraId="622EAC7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2CCE50"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GSSG/GSH included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F3B5E5"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95DC12"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287C20"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Yes</w:t>
            </w:r>
          </w:p>
        </w:tc>
      </w:tr>
      <w:tr w:rsidR="0007646F" w:rsidRPr="0007646F" w14:paraId="7008217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9A5C91"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Solubility additive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DE07A2"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No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D7AD57"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Brij-35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21B420"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No</w:t>
            </w:r>
          </w:p>
        </w:tc>
      </w:tr>
      <w:tr w:rsidR="0007646F" w:rsidRPr="0007646F" w14:paraId="24E556A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F7C286"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Main optimization goal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EE3351"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Lowest cost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33A3D0"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Active enzyme yield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2036DC"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Correct folding and activity</w:t>
            </w:r>
          </w:p>
        </w:tc>
      </w:tr>
    </w:tbl>
    <w:p w14:paraId="0D3A68D7" w14:textId="77777777" w:rsidR="0007646F" w:rsidRPr="0007646F" w:rsidRDefault="0007646F" w:rsidP="0007646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7646F">
        <w:rPr>
          <w:rFonts w:ascii="Segoe UI" w:eastAsia="Times New Roman" w:hAnsi="Segoe UI" w:cs="Segoe UI"/>
          <w:b/>
          <w:bCs/>
          <w:kern w:val="0"/>
          <w:sz w:val="36"/>
          <w:szCs w:val="36"/>
          <w14:ligatures w14:val="none"/>
        </w:rPr>
        <w:t>Conclusion</w:t>
      </w:r>
    </w:p>
    <w:p w14:paraId="14D4B29C"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To reduce the cost per gram of functional protein, I tailored each CFPS reaction composition to the biological requirements of the target protein. For sfGFP, I prioritized low-cost expression by using only the components necessary for efficient transcription and translation. For PETase, I maintained a cost-conscious reducing formulation while incorporating a small amount of Brij-35 to improve enzyme solubility and activity. For Reteplase, I accepted the higher cost of an oxidizing formulation because proper disulfide-bond formation is essential for producing active protein. Together, these designs balance reagent expenses with expected improvements in functional protein yield, which is the primary determinant of overall production cost.</w:t>
      </w:r>
    </w:p>
    <w:p w14:paraId="22E605EA" w14:textId="77777777" w:rsidR="0007646F" w:rsidRPr="0007646F" w:rsidRDefault="0007646F" w:rsidP="0007646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7646F">
        <w:rPr>
          <w:rFonts w:ascii="Segoe UI" w:eastAsia="Times New Roman" w:hAnsi="Segoe UI" w:cs="Segoe UI"/>
          <w:b/>
          <w:bCs/>
          <w:kern w:val="0"/>
          <w:sz w:val="27"/>
          <w:szCs w:val="27"/>
          <w14:ligatures w14:val="none"/>
        </w:rPr>
        <w:lastRenderedPageBreak/>
        <w:t>Sources from the Assignment</w:t>
      </w:r>
    </w:p>
    <w:p w14:paraId="6D7DA943"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Silverman, A. D., Karim, A. S., &amp; Jewett, M. C. (2020).</w:t>
      </w:r>
      <w:r w:rsidRPr="0007646F">
        <w:rPr>
          <w:rFonts w:ascii="Segoe UI" w:eastAsia="Times New Roman" w:hAnsi="Segoe UI" w:cs="Segoe UI"/>
          <w:kern w:val="0"/>
          <w:sz w:val="21"/>
          <w:szCs w:val="21"/>
          <w14:ligatures w14:val="none"/>
        </w:rPr>
        <w:t xml:space="preserve"> Cell-free gene expression: An expanded repertoire of applications. </w:t>
      </w:r>
      <w:r w:rsidRPr="0007646F">
        <w:rPr>
          <w:rFonts w:ascii="Segoe UI" w:eastAsia="Times New Roman" w:hAnsi="Segoe UI" w:cs="Segoe UI"/>
          <w:i/>
          <w:iCs/>
          <w:kern w:val="0"/>
          <w:sz w:val="21"/>
          <w:szCs w:val="21"/>
          <w14:ligatures w14:val="none"/>
        </w:rPr>
        <w:t>Nature Reviews Genetics, 21</w:t>
      </w:r>
      <w:r w:rsidRPr="0007646F">
        <w:rPr>
          <w:rFonts w:ascii="Segoe UI" w:eastAsia="Times New Roman" w:hAnsi="Segoe UI" w:cs="Segoe UI"/>
          <w:kern w:val="0"/>
          <w:sz w:val="21"/>
          <w:szCs w:val="21"/>
          <w14:ligatures w14:val="none"/>
        </w:rPr>
        <w:t>(3), 151-170.</w:t>
      </w:r>
    </w:p>
    <w:p w14:paraId="08D36595"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Used for:</w:t>
      </w:r>
    </w:p>
    <w:p w14:paraId="30ECAA5F" w14:textId="77777777" w:rsidR="0007646F" w:rsidRPr="0007646F" w:rsidRDefault="0007646F" w:rsidP="0007646F">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General CFPS background</w:t>
      </w:r>
    </w:p>
    <w:p w14:paraId="0250BC8E" w14:textId="77777777" w:rsidR="0007646F" w:rsidRPr="0007646F" w:rsidRDefault="0007646F" w:rsidP="0007646F">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Advantages of cell-free systems</w:t>
      </w:r>
    </w:p>
    <w:p w14:paraId="6E5E5658" w14:textId="77777777" w:rsidR="0007646F" w:rsidRPr="0007646F" w:rsidRDefault="0007646F" w:rsidP="0007646F">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Rapid prototyping and automation</w:t>
      </w:r>
    </w:p>
    <w:p w14:paraId="4D5DA10F"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Rasor, B. J., et al. (2021).</w:t>
      </w:r>
      <w:r w:rsidRPr="0007646F">
        <w:rPr>
          <w:rFonts w:ascii="Segoe UI" w:eastAsia="Times New Roman" w:hAnsi="Segoe UI" w:cs="Segoe UI"/>
          <w:kern w:val="0"/>
          <w:sz w:val="21"/>
          <w:szCs w:val="21"/>
          <w14:ligatures w14:val="none"/>
        </w:rPr>
        <w:t xml:space="preserve"> Cell-free protein synthesis for rapid prototyping of metabolic pathways. </w:t>
      </w:r>
      <w:r w:rsidRPr="0007646F">
        <w:rPr>
          <w:rFonts w:ascii="Segoe UI" w:eastAsia="Times New Roman" w:hAnsi="Segoe UI" w:cs="Segoe UI"/>
          <w:i/>
          <w:iCs/>
          <w:kern w:val="0"/>
          <w:sz w:val="21"/>
          <w:szCs w:val="21"/>
          <w14:ligatures w14:val="none"/>
        </w:rPr>
        <w:t>Current Opinion in Biotechnology, 69</w:t>
      </w:r>
      <w:r w:rsidRPr="0007646F">
        <w:rPr>
          <w:rFonts w:ascii="Segoe UI" w:eastAsia="Times New Roman" w:hAnsi="Segoe UI" w:cs="Segoe UI"/>
          <w:kern w:val="0"/>
          <w:sz w:val="21"/>
          <w:szCs w:val="21"/>
          <w14:ligatures w14:val="none"/>
        </w:rPr>
        <w:t>, 177-188.</w:t>
      </w:r>
    </w:p>
    <w:p w14:paraId="1BF8A0B5"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Used for:</w:t>
      </w:r>
    </w:p>
    <w:p w14:paraId="2C39F494" w14:textId="77777777" w:rsidR="0007646F" w:rsidRPr="0007646F" w:rsidRDefault="0007646F" w:rsidP="0007646F">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High-throughput CFPS workflows</w:t>
      </w:r>
    </w:p>
    <w:p w14:paraId="4668ADC7" w14:textId="77777777" w:rsidR="0007646F" w:rsidRPr="0007646F" w:rsidRDefault="0007646F" w:rsidP="0007646F">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Iterative optimization strategies</w:t>
      </w:r>
    </w:p>
    <w:p w14:paraId="38DF873B" w14:textId="77777777" w:rsidR="0007646F" w:rsidRPr="0007646F" w:rsidRDefault="0007646F" w:rsidP="0007646F">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Automated experimental design</w:t>
      </w:r>
    </w:p>
    <w:p w14:paraId="10AFC383"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Olsen et al. (2026)</w:t>
      </w:r>
      <w:r w:rsidRPr="0007646F">
        <w:rPr>
          <w:rFonts w:ascii="Segoe UI" w:eastAsia="Times New Roman" w:hAnsi="Segoe UI" w:cs="Segoe UI"/>
          <w:kern w:val="0"/>
          <w:sz w:val="21"/>
          <w:szCs w:val="21"/>
          <w14:ligatures w14:val="none"/>
        </w:rPr>
        <w:t xml:space="preserve"> </w:t>
      </w:r>
      <w:r w:rsidRPr="0007646F">
        <w:rPr>
          <w:rFonts w:ascii="Segoe UI" w:eastAsia="Times New Roman" w:hAnsi="Segoe UI" w:cs="Segoe UI"/>
          <w:i/>
          <w:iCs/>
          <w:kern w:val="0"/>
          <w:sz w:val="21"/>
          <w:szCs w:val="21"/>
          <w14:ligatures w14:val="none"/>
        </w:rPr>
        <w:t>(as referenced in the assignment)</w:t>
      </w:r>
    </w:p>
    <w:p w14:paraId="41EC2B04"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Used for:</w:t>
      </w:r>
    </w:p>
    <w:p w14:paraId="1C3B1BA9" w14:textId="77777777" w:rsidR="0007646F" w:rsidRPr="0007646F" w:rsidRDefault="0007646F" w:rsidP="0007646F">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Relative reagent costs</w:t>
      </w:r>
    </w:p>
    <w:p w14:paraId="22A0E8C1" w14:textId="77777777" w:rsidR="0007646F" w:rsidRPr="0007646F" w:rsidRDefault="0007646F" w:rsidP="0007646F">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Cost-per-gram optimization framework</w:t>
      </w:r>
    </w:p>
    <w:p w14:paraId="120DFD19" w14:textId="77777777" w:rsidR="0007646F" w:rsidRPr="0007646F" w:rsidRDefault="0007646F" w:rsidP="0007646F">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Importance of lysate cost in CFPS reactions</w:t>
      </w:r>
    </w:p>
    <w:p w14:paraId="2453940E"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Smith et al. (2026)</w:t>
      </w:r>
      <w:r w:rsidRPr="0007646F">
        <w:rPr>
          <w:rFonts w:ascii="Segoe UI" w:eastAsia="Times New Roman" w:hAnsi="Segoe UI" w:cs="Segoe UI"/>
          <w:kern w:val="0"/>
          <w:sz w:val="21"/>
          <w:szCs w:val="21"/>
          <w14:ligatures w14:val="none"/>
        </w:rPr>
        <w:t xml:space="preserve"> </w:t>
      </w:r>
      <w:r w:rsidRPr="0007646F">
        <w:rPr>
          <w:rFonts w:ascii="Segoe UI" w:eastAsia="Times New Roman" w:hAnsi="Segoe UI" w:cs="Segoe UI"/>
          <w:i/>
          <w:iCs/>
          <w:kern w:val="0"/>
          <w:sz w:val="21"/>
          <w:szCs w:val="21"/>
          <w14:ligatures w14:val="none"/>
        </w:rPr>
        <w:t>(as referenced in the assignment)</w:t>
      </w:r>
    </w:p>
    <w:p w14:paraId="3563A3BF"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Used for:</w:t>
      </w:r>
    </w:p>
    <w:p w14:paraId="4A8D94E0" w14:textId="77777777" w:rsidR="0007646F" w:rsidRPr="0007646F" w:rsidRDefault="0007646F" w:rsidP="0007646F">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Evidence that formulation changes affect protein yield by orders of magnitude</w:t>
      </w:r>
    </w:p>
    <w:p w14:paraId="349541F2" w14:textId="77777777" w:rsidR="0007646F" w:rsidRPr="0007646F" w:rsidRDefault="0007646F" w:rsidP="0007646F">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Cost-reduction strategies such as improved buffering, nucleotide substitution, and spermidine supplementation</w:t>
      </w:r>
    </w:p>
    <w:p w14:paraId="5D0FC252" w14:textId="77777777" w:rsidR="0007646F" w:rsidRPr="0007646F" w:rsidRDefault="0007646F" w:rsidP="0007646F">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Performance of optimized formulations across multiple proteins</w:t>
      </w:r>
    </w:p>
    <w:p w14:paraId="19BD44A6" w14:textId="77777777" w:rsidR="00BD5B5C" w:rsidRDefault="00BD5B5C"/>
    <w:p w14:paraId="04C255D5" w14:textId="77777777" w:rsidR="0007646F" w:rsidRPr="0007646F" w:rsidRDefault="0007646F" w:rsidP="0007646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7646F">
        <w:rPr>
          <w:rFonts w:ascii="Segoe UI" w:eastAsia="Times New Roman" w:hAnsi="Segoe UI" w:cs="Segoe UI"/>
          <w:b/>
          <w:bCs/>
          <w:kern w:val="0"/>
          <w:sz w:val="27"/>
          <w:szCs w:val="27"/>
          <w14:ligatures w14:val="none"/>
        </w:rPr>
        <w:t>1. Why does the concentration of potassium glutamate and magnesium glutamate differ between compositions? Which is more sensitive?</w:t>
      </w:r>
    </w:p>
    <w:p w14:paraId="2E636F39"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lastRenderedPageBreak/>
        <w:t>Potassium glutamate and magnesium glutamate play different roles in CFPS reactions, so their optimal concentrations often vary between formulations.</w:t>
      </w:r>
    </w:p>
    <w:p w14:paraId="37AEA2F1"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Potassium glutamate (K⁺)</w:t>
      </w:r>
      <w:r w:rsidRPr="0007646F">
        <w:rPr>
          <w:rFonts w:ascii="Segoe UI" w:eastAsia="Times New Roman" w:hAnsi="Segoe UI" w:cs="Segoe UI"/>
          <w:kern w:val="0"/>
          <w:sz w:val="21"/>
          <w:szCs w:val="21"/>
          <w14:ligatures w14:val="none"/>
        </w:rPr>
        <w:t xml:space="preserve"> primarily controls the overall ionic strength of the reaction and helps mimic the natural intracellular environment of </w:t>
      </w:r>
      <w:r w:rsidRPr="0007646F">
        <w:rPr>
          <w:rFonts w:ascii="Segoe UI" w:eastAsia="Times New Roman" w:hAnsi="Segoe UI" w:cs="Segoe UI"/>
          <w:i/>
          <w:iCs/>
          <w:kern w:val="0"/>
          <w:sz w:val="21"/>
          <w:szCs w:val="21"/>
          <w14:ligatures w14:val="none"/>
        </w:rPr>
        <w:t>E. coli</w:t>
      </w:r>
      <w:r w:rsidRPr="0007646F">
        <w:rPr>
          <w:rFonts w:ascii="Segoe UI" w:eastAsia="Times New Roman" w:hAnsi="Segoe UI" w:cs="Segoe UI"/>
          <w:kern w:val="0"/>
          <w:sz w:val="21"/>
          <w:szCs w:val="21"/>
          <w14:ligatures w14:val="none"/>
        </w:rPr>
        <w:t xml:space="preserve">. It supports ribosome stability and protein synthesis, but CFPS systems generally tolerate a relatively broad range of potassium concentrations before performance declines. </w:t>
      </w:r>
      <w:hyperlink r:id="rId5" w:history="1">
        <w:r w:rsidRPr="0007646F">
          <w:rPr>
            <w:rFonts w:ascii="Segoe UI" w:eastAsia="Times New Roman" w:hAnsi="Segoe UI" w:cs="Segoe UI"/>
            <w:color w:val="464FEB"/>
            <w:kern w:val="0"/>
            <w:sz w:val="21"/>
            <w:szCs w:val="21"/>
            <w14:ligatures w14:val="none"/>
          </w:rPr>
          <w:t>[pages.htgaa.org]</w:t>
        </w:r>
      </w:hyperlink>
      <w:r w:rsidRPr="0007646F">
        <w:rPr>
          <w:rFonts w:ascii="Segoe UI" w:eastAsia="Times New Roman" w:hAnsi="Segoe UI" w:cs="Segoe UI"/>
          <w:kern w:val="0"/>
          <w:sz w:val="21"/>
          <w:szCs w:val="21"/>
          <w14:ligatures w14:val="none"/>
        </w:rPr>
        <w:t xml:space="preserve">, </w:t>
      </w:r>
      <w:hyperlink r:id="rId6" w:history="1">
        <w:r w:rsidRPr="0007646F">
          <w:rPr>
            <w:rFonts w:ascii="Segoe UI" w:eastAsia="Times New Roman" w:hAnsi="Segoe UI" w:cs="Segoe UI"/>
            <w:color w:val="464FEB"/>
            <w:kern w:val="0"/>
            <w:sz w:val="21"/>
            <w:szCs w:val="21"/>
            <w14:ligatures w14:val="none"/>
          </w:rPr>
          <w:t>[s3.amazonaws.com]</w:t>
        </w:r>
      </w:hyperlink>
    </w:p>
    <w:p w14:paraId="41ADCB19"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Magnesium glutamate (Mg²⁺)</w:t>
      </w:r>
      <w:r w:rsidRPr="0007646F">
        <w:rPr>
          <w:rFonts w:ascii="Segoe UI" w:eastAsia="Times New Roman" w:hAnsi="Segoe UI" w:cs="Segoe UI"/>
          <w:kern w:val="0"/>
          <w:sz w:val="21"/>
          <w:szCs w:val="21"/>
          <w14:ligatures w14:val="none"/>
        </w:rPr>
        <w:t xml:space="preserve"> is much more directly involved in the molecular mechanisms of transcription and translation. Magnesium ions:</w:t>
      </w:r>
    </w:p>
    <w:p w14:paraId="435545DD" w14:textId="77777777" w:rsidR="0007646F" w:rsidRPr="0007646F" w:rsidRDefault="0007646F" w:rsidP="0007646F">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Stabilize ribosome structure</w:t>
      </w:r>
    </w:p>
    <w:p w14:paraId="39660993" w14:textId="77777777" w:rsidR="0007646F" w:rsidRPr="0007646F" w:rsidRDefault="0007646F" w:rsidP="0007646F">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Coordinate nucleotide triphosphates (NTPs)</w:t>
      </w:r>
    </w:p>
    <w:p w14:paraId="1A8A2186" w14:textId="77777777" w:rsidR="0007646F" w:rsidRPr="0007646F" w:rsidRDefault="0007646F" w:rsidP="0007646F">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Support tRNA-ribosome interactions</w:t>
      </w:r>
    </w:p>
    <w:p w14:paraId="4034D258" w14:textId="77777777" w:rsidR="0007646F" w:rsidRPr="0007646F" w:rsidRDefault="0007646F" w:rsidP="0007646F">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Influence enzyme activity and nucleic acid stability</w:t>
      </w:r>
    </w:p>
    <w:p w14:paraId="45764A71"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 xml:space="preserve">Because magnesium participates directly in these processes, even small concentration changes can significantly affect protein yield. The University of Cambridge CFPS protocol notes that magnesium concentration often must be optimized for each lysate batch and is commonly adjusted because the optimal concentration varies between extracts. </w:t>
      </w:r>
      <w:hyperlink r:id="rId7" w:history="1">
        <w:r w:rsidRPr="0007646F">
          <w:rPr>
            <w:rFonts w:ascii="Segoe UI" w:eastAsia="Times New Roman" w:hAnsi="Segoe UI" w:cs="Segoe UI"/>
            <w:color w:val="464FEB"/>
            <w:kern w:val="0"/>
            <w:sz w:val="21"/>
            <w:szCs w:val="21"/>
            <w14:ligatures w14:val="none"/>
          </w:rPr>
          <w:t>[s3.amazonaws.com]</w:t>
        </w:r>
      </w:hyperlink>
    </w:p>
    <w:p w14:paraId="6612AE09"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Which is more sensitive?</w:t>
      </w:r>
    </w:p>
    <w:p w14:paraId="75AB7911"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Magnesium glutamate is the more sensitive variable.</w:t>
      </w:r>
      <w:r w:rsidRPr="0007646F">
        <w:rPr>
          <w:rFonts w:ascii="Segoe UI" w:eastAsia="Times New Roman" w:hAnsi="Segoe UI" w:cs="Segoe UI"/>
          <w:kern w:val="0"/>
          <w:sz w:val="21"/>
          <w:szCs w:val="21"/>
          <w14:ligatures w14:val="none"/>
        </w:rPr>
        <w:t xml:space="preserve"> Small changes in Mg²⁺ concentration can dramatically alter protein production, whereas potassium glutamate typically has a wider acceptable operating range. </w:t>
      </w:r>
      <w:hyperlink r:id="rId8" w:history="1">
        <w:r w:rsidRPr="0007646F">
          <w:rPr>
            <w:rFonts w:ascii="Segoe UI" w:eastAsia="Times New Roman" w:hAnsi="Segoe UI" w:cs="Segoe UI"/>
            <w:color w:val="464FEB"/>
            <w:kern w:val="0"/>
            <w:sz w:val="21"/>
            <w:szCs w:val="21"/>
            <w14:ligatures w14:val="none"/>
          </w:rPr>
          <w:t>[s3.amazonaws.com]</w:t>
        </w:r>
      </w:hyperlink>
      <w:r w:rsidRPr="0007646F">
        <w:rPr>
          <w:rFonts w:ascii="Segoe UI" w:eastAsia="Times New Roman" w:hAnsi="Segoe UI" w:cs="Segoe UI"/>
          <w:kern w:val="0"/>
          <w:sz w:val="21"/>
          <w:szCs w:val="21"/>
          <w14:ligatures w14:val="none"/>
        </w:rPr>
        <w:t xml:space="preserve">, </w:t>
      </w:r>
      <w:hyperlink r:id="rId9" w:history="1">
        <w:r w:rsidRPr="0007646F">
          <w:rPr>
            <w:rFonts w:ascii="Segoe UI" w:eastAsia="Times New Roman" w:hAnsi="Segoe UI" w:cs="Segoe UI"/>
            <w:color w:val="464FEB"/>
            <w:kern w:val="0"/>
            <w:sz w:val="21"/>
            <w:szCs w:val="21"/>
            <w14:ligatures w14:val="none"/>
          </w:rPr>
          <w:t>[pages.htgaa.org]</w:t>
        </w:r>
      </w:hyperlink>
    </w:p>
    <w:p w14:paraId="4E506D4C" w14:textId="77777777" w:rsidR="0007646F" w:rsidRPr="0007646F" w:rsidRDefault="00076373" w:rsidP="0007646F">
      <w:pPr>
        <w:spacing w:after="0" w:line="300" w:lineRule="atLeast"/>
        <w:rPr>
          <w:rFonts w:ascii="Segoe UI" w:eastAsia="Times New Roman" w:hAnsi="Segoe UI" w:cs="Segoe UI"/>
          <w:kern w:val="0"/>
          <w:sz w:val="21"/>
          <w:szCs w:val="21"/>
          <w14:ligatures w14:val="none"/>
        </w:rPr>
      </w:pPr>
      <w:r w:rsidRPr="00076373">
        <w:rPr>
          <w:rFonts w:ascii="Segoe UI" w:eastAsia="Times New Roman" w:hAnsi="Segoe UI" w:cs="Segoe UI"/>
          <w:noProof/>
          <w:kern w:val="0"/>
          <w:sz w:val="21"/>
          <w:szCs w:val="21"/>
        </w:rPr>
        <w:pict w14:anchorId="792B2D7E">
          <v:rect id="_x0000_i1029" style="width:0;height:1.5pt" o:hralign="center" o:hrstd="t" o:hr="t" fillcolor="#a0a0a0" stroked="f"/>
        </w:pict>
      </w:r>
    </w:p>
    <w:p w14:paraId="7E7DDAA4" w14:textId="77777777" w:rsidR="0007646F" w:rsidRPr="0007646F" w:rsidRDefault="0007646F" w:rsidP="0007646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7646F">
        <w:rPr>
          <w:rFonts w:ascii="Segoe UI" w:eastAsia="Times New Roman" w:hAnsi="Segoe UI" w:cs="Segoe UI"/>
          <w:b/>
          <w:bCs/>
          <w:kern w:val="0"/>
          <w:sz w:val="27"/>
          <w:szCs w:val="27"/>
          <w14:ligatures w14:val="none"/>
        </w:rPr>
        <w:t>2. Explain how a PEP+NTP reaction formulation is different from a Ribose+NMP reaction formulation.</w:t>
      </w:r>
    </w:p>
    <w:p w14:paraId="3D39C435"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 xml:space="preserve">The primary difference is </w:t>
      </w:r>
      <w:r w:rsidRPr="0007646F">
        <w:rPr>
          <w:rFonts w:ascii="Segoe UI" w:eastAsia="Times New Roman" w:hAnsi="Segoe UI" w:cs="Segoe UI"/>
          <w:b/>
          <w:bCs/>
          <w:kern w:val="0"/>
          <w:sz w:val="21"/>
          <w:szCs w:val="21"/>
          <w14:ligatures w14:val="none"/>
        </w:rPr>
        <w:t>how energy and nucleotides are supplied to the CFPS reaction.</w:t>
      </w:r>
    </w:p>
    <w:p w14:paraId="6C28FE0B" w14:textId="77777777" w:rsidR="0007646F" w:rsidRPr="0007646F" w:rsidRDefault="0007646F" w:rsidP="0007646F">
      <w:pPr>
        <w:spacing w:before="100" w:beforeAutospacing="1" w:after="100" w:afterAutospacing="1" w:line="300" w:lineRule="atLeast"/>
        <w:outlineLvl w:val="3"/>
        <w:rPr>
          <w:rFonts w:ascii="Segoe UI" w:eastAsia="Times New Roman" w:hAnsi="Segoe UI" w:cs="Segoe UI"/>
          <w:b/>
          <w:bCs/>
          <w:kern w:val="0"/>
          <w14:ligatures w14:val="none"/>
        </w:rPr>
      </w:pPr>
      <w:r w:rsidRPr="0007646F">
        <w:rPr>
          <w:rFonts w:ascii="Segoe UI" w:eastAsia="Times New Roman" w:hAnsi="Segoe UI" w:cs="Segoe UI"/>
          <w:b/>
          <w:bCs/>
          <w:kern w:val="0"/>
          <w14:ligatures w14:val="none"/>
        </w:rPr>
        <w:t>PEP + NTP Formulation</w:t>
      </w:r>
    </w:p>
    <w:p w14:paraId="7BA6CF33"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 PEP+NTP system supplies:</w:t>
      </w:r>
    </w:p>
    <w:p w14:paraId="4967C440" w14:textId="77777777" w:rsidR="0007646F" w:rsidRPr="0007646F" w:rsidRDefault="0007646F" w:rsidP="0007646F">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Phosphoenolpyruvate (PEP) as the energy source</w:t>
      </w:r>
    </w:p>
    <w:p w14:paraId="2CE0944E" w14:textId="77777777" w:rsidR="0007646F" w:rsidRPr="0007646F" w:rsidRDefault="0007646F" w:rsidP="0007646F">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ATP, GTP, CTP, and UTP directly as nucleotide triphosphates</w:t>
      </w:r>
    </w:p>
    <w:p w14:paraId="3EA651FF"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lastRenderedPageBreak/>
        <w:t xml:space="preserve">In this system, the reaction starts with all transcription substrates already in their active triphosphate form. PEP regenerates ATP through the pyruvate kinase pathway, providing rapid energy production and supporting high initial protein expression. </w:t>
      </w:r>
      <w:hyperlink r:id="rId10" w:history="1">
        <w:r w:rsidRPr="0007646F">
          <w:rPr>
            <w:rFonts w:ascii="Segoe UI" w:eastAsia="Times New Roman" w:hAnsi="Segoe UI" w:cs="Segoe UI"/>
            <w:color w:val="464FEB"/>
            <w:kern w:val="0"/>
            <w:sz w:val="21"/>
            <w:szCs w:val="21"/>
            <w14:ligatures w14:val="none"/>
          </w:rPr>
          <w:t>[pdf.benchchem.com]</w:t>
        </w:r>
      </w:hyperlink>
    </w:p>
    <w:p w14:paraId="0DA47F6D"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Advantages</w:t>
      </w:r>
    </w:p>
    <w:p w14:paraId="7AB93FA0" w14:textId="77777777" w:rsidR="0007646F" w:rsidRPr="0007646F" w:rsidRDefault="0007646F" w:rsidP="0007646F">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High expression rates</w:t>
      </w:r>
    </w:p>
    <w:p w14:paraId="2FCAE4D2" w14:textId="77777777" w:rsidR="0007646F" w:rsidRPr="0007646F" w:rsidRDefault="0007646F" w:rsidP="0007646F">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Simple reaction design</w:t>
      </w:r>
    </w:p>
    <w:p w14:paraId="15B92455" w14:textId="77777777" w:rsidR="0007646F" w:rsidRPr="0007646F" w:rsidRDefault="0007646F" w:rsidP="0007646F">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Well-established protocol</w:t>
      </w:r>
    </w:p>
    <w:p w14:paraId="7AB394C3"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Disadvantages</w:t>
      </w:r>
    </w:p>
    <w:p w14:paraId="565EEC68" w14:textId="77777777" w:rsidR="0007646F" w:rsidRPr="0007646F" w:rsidRDefault="0007646F" w:rsidP="0007646F">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Expensive because NTPs are costly reagents</w:t>
      </w:r>
    </w:p>
    <w:p w14:paraId="12A03D75" w14:textId="77777777" w:rsidR="0007646F" w:rsidRPr="0007646F" w:rsidRDefault="0007646F" w:rsidP="0007646F">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PEP can be degraded by endogenous enzymes</w:t>
      </w:r>
    </w:p>
    <w:p w14:paraId="286265A8" w14:textId="77777777" w:rsidR="0007646F" w:rsidRPr="0007646F" w:rsidRDefault="0007646F" w:rsidP="0007646F">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 xml:space="preserve">Phosphate accumulation may inhibit protein synthesis by tying up magnesium ions </w:t>
      </w:r>
      <w:hyperlink r:id="rId11" w:history="1">
        <w:r w:rsidRPr="0007646F">
          <w:rPr>
            <w:rFonts w:ascii="Segoe UI" w:eastAsia="Times New Roman" w:hAnsi="Segoe UI" w:cs="Segoe UI"/>
            <w:color w:val="464FEB"/>
            <w:kern w:val="0"/>
            <w:sz w:val="21"/>
            <w:szCs w:val="21"/>
            <w14:ligatures w14:val="none"/>
          </w:rPr>
          <w:t>[pdf.benchchem.com]</w:t>
        </w:r>
      </w:hyperlink>
    </w:p>
    <w:p w14:paraId="61E2A1B1" w14:textId="77777777" w:rsidR="0007646F" w:rsidRPr="0007646F" w:rsidRDefault="00076373" w:rsidP="0007646F">
      <w:pPr>
        <w:spacing w:after="0" w:line="300" w:lineRule="atLeast"/>
        <w:rPr>
          <w:rFonts w:ascii="Segoe UI" w:eastAsia="Times New Roman" w:hAnsi="Segoe UI" w:cs="Segoe UI"/>
          <w:kern w:val="0"/>
          <w:sz w:val="21"/>
          <w:szCs w:val="21"/>
          <w14:ligatures w14:val="none"/>
        </w:rPr>
      </w:pPr>
      <w:r w:rsidRPr="00076373">
        <w:rPr>
          <w:rFonts w:ascii="Segoe UI" w:eastAsia="Times New Roman" w:hAnsi="Segoe UI" w:cs="Segoe UI"/>
          <w:noProof/>
          <w:kern w:val="0"/>
          <w:sz w:val="21"/>
          <w:szCs w:val="21"/>
        </w:rPr>
        <w:pict w14:anchorId="70359CCA">
          <v:rect id="_x0000_i1028" style="width:0;height:1.5pt" o:hralign="center" o:hrstd="t" o:hr="t" fillcolor="#a0a0a0" stroked="f"/>
        </w:pict>
      </w:r>
    </w:p>
    <w:p w14:paraId="4E61DDF7" w14:textId="77777777" w:rsidR="0007646F" w:rsidRPr="0007646F" w:rsidRDefault="0007646F" w:rsidP="0007646F">
      <w:pPr>
        <w:spacing w:before="100" w:beforeAutospacing="1" w:after="100" w:afterAutospacing="1" w:line="300" w:lineRule="atLeast"/>
        <w:outlineLvl w:val="3"/>
        <w:rPr>
          <w:rFonts w:ascii="Segoe UI" w:eastAsia="Times New Roman" w:hAnsi="Segoe UI" w:cs="Segoe UI"/>
          <w:b/>
          <w:bCs/>
          <w:kern w:val="0"/>
          <w14:ligatures w14:val="none"/>
        </w:rPr>
      </w:pPr>
      <w:r w:rsidRPr="0007646F">
        <w:rPr>
          <w:rFonts w:ascii="Segoe UI" w:eastAsia="Times New Roman" w:hAnsi="Segoe UI" w:cs="Segoe UI"/>
          <w:b/>
          <w:bCs/>
          <w:kern w:val="0"/>
          <w14:ligatures w14:val="none"/>
        </w:rPr>
        <w:t>Ribose + NMP Formulation</w:t>
      </w:r>
    </w:p>
    <w:p w14:paraId="1B8D1E54"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 Ribose+NMP system supplies:</w:t>
      </w:r>
    </w:p>
    <w:p w14:paraId="0FD14EF1" w14:textId="77777777" w:rsidR="0007646F" w:rsidRPr="0007646F" w:rsidRDefault="0007646F" w:rsidP="0007646F">
      <w:pPr>
        <w:numPr>
          <w:ilvl w:val="0"/>
          <w:numId w:val="12"/>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Ribose (or another sugar source)</w:t>
      </w:r>
    </w:p>
    <w:p w14:paraId="6BCE1F88" w14:textId="77777777" w:rsidR="0007646F" w:rsidRPr="0007646F" w:rsidRDefault="0007646F" w:rsidP="0007646F">
      <w:pPr>
        <w:numPr>
          <w:ilvl w:val="0"/>
          <w:numId w:val="12"/>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Nucleotide monophosphates (AMP, CMP, GMP, UMP)</w:t>
      </w:r>
    </w:p>
    <w:p w14:paraId="5D9C9625"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 xml:space="preserve">Instead of adding expensive triphosphates directly, the lysate's endogenous metabolic pathways convert the cheaper monophosphates into diphosphates and triphosphates. Ribose helps feed nucleotide regeneration and energy metabolism. </w:t>
      </w:r>
      <w:hyperlink r:id="rId12" w:history="1">
        <w:r w:rsidRPr="0007646F">
          <w:rPr>
            <w:rFonts w:ascii="Segoe UI" w:eastAsia="Times New Roman" w:hAnsi="Segoe UI" w:cs="Segoe UI"/>
            <w:color w:val="464FEB"/>
            <w:kern w:val="0"/>
            <w:sz w:val="21"/>
            <w:szCs w:val="21"/>
            <w14:ligatures w14:val="none"/>
          </w:rPr>
          <w:t>[pages.htgaa.org]</w:t>
        </w:r>
      </w:hyperlink>
      <w:r w:rsidRPr="0007646F">
        <w:rPr>
          <w:rFonts w:ascii="Segoe UI" w:eastAsia="Times New Roman" w:hAnsi="Segoe UI" w:cs="Segoe UI"/>
          <w:kern w:val="0"/>
          <w:sz w:val="21"/>
          <w:szCs w:val="21"/>
          <w14:ligatures w14:val="none"/>
        </w:rPr>
        <w:t xml:space="preserve">, </w:t>
      </w:r>
      <w:hyperlink r:id="rId13" w:history="1">
        <w:r w:rsidRPr="0007646F">
          <w:rPr>
            <w:rFonts w:ascii="Segoe UI" w:eastAsia="Times New Roman" w:hAnsi="Segoe UI" w:cs="Segoe UI"/>
            <w:color w:val="464FEB"/>
            <w:kern w:val="0"/>
            <w:sz w:val="21"/>
            <w:szCs w:val="21"/>
            <w14:ligatures w14:val="none"/>
          </w:rPr>
          <w:t>[pubs.acs.org]</w:t>
        </w:r>
      </w:hyperlink>
    </w:p>
    <w:p w14:paraId="5B38FF4D"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Advantages</w:t>
      </w:r>
    </w:p>
    <w:p w14:paraId="34A72276" w14:textId="77777777" w:rsidR="0007646F" w:rsidRPr="0007646F" w:rsidRDefault="0007646F" w:rsidP="0007646F">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Lower reagent cost</w:t>
      </w:r>
    </w:p>
    <w:p w14:paraId="0AE1DB84" w14:textId="77777777" w:rsidR="0007646F" w:rsidRPr="0007646F" w:rsidRDefault="0007646F" w:rsidP="0007646F">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Uses metabolic recycling pathways</w:t>
      </w:r>
    </w:p>
    <w:p w14:paraId="15AF17D8" w14:textId="77777777" w:rsidR="0007646F" w:rsidRPr="0007646F" w:rsidRDefault="0007646F" w:rsidP="0007646F">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Better suited for long-duration reactions</w:t>
      </w:r>
    </w:p>
    <w:p w14:paraId="7932787B"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Disadvantages</w:t>
      </w:r>
    </w:p>
    <w:p w14:paraId="2044FDAC" w14:textId="77777777" w:rsidR="0007646F" w:rsidRPr="0007646F" w:rsidRDefault="0007646F" w:rsidP="0007646F">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More metabolically complex</w:t>
      </w:r>
    </w:p>
    <w:p w14:paraId="11C4740C" w14:textId="77777777" w:rsidR="0007646F" w:rsidRPr="0007646F" w:rsidRDefault="0007646F" w:rsidP="0007646F">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May produce slower initial protein synthesis</w:t>
      </w:r>
    </w:p>
    <w:p w14:paraId="38A4AB8E" w14:textId="77777777" w:rsidR="0007646F" w:rsidRPr="0007646F" w:rsidRDefault="0007646F" w:rsidP="0007646F">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Depends heavily on lysate metabolic activity</w:t>
      </w:r>
    </w:p>
    <w:p w14:paraId="20562D19" w14:textId="77777777" w:rsidR="0007646F" w:rsidRPr="0007646F" w:rsidRDefault="0007646F" w:rsidP="0007646F">
      <w:pPr>
        <w:spacing w:before="100" w:beforeAutospacing="1" w:after="100" w:afterAutospacing="1" w:line="300" w:lineRule="atLeast"/>
        <w:outlineLvl w:val="3"/>
        <w:rPr>
          <w:rFonts w:ascii="Segoe UI" w:eastAsia="Times New Roman" w:hAnsi="Segoe UI" w:cs="Segoe UI"/>
          <w:b/>
          <w:bCs/>
          <w:kern w:val="0"/>
          <w14:ligatures w14:val="none"/>
        </w:rPr>
      </w:pPr>
      <w:r w:rsidRPr="0007646F">
        <w:rPr>
          <w:rFonts w:ascii="Segoe UI" w:eastAsia="Times New Roman" w:hAnsi="Segoe UI" w:cs="Segoe UI"/>
          <w:b/>
          <w:bCs/>
          <w:kern w:val="0"/>
          <w14:ligatures w14:val="none"/>
        </w:rPr>
        <w:t>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5"/>
        <w:gridCol w:w="3044"/>
        <w:gridCol w:w="3258"/>
      </w:tblGrid>
      <w:tr w:rsidR="0007646F" w:rsidRPr="0007646F" w14:paraId="08B1B57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0CC8A3" w14:textId="77777777" w:rsidR="0007646F" w:rsidRPr="0007646F" w:rsidRDefault="0007646F" w:rsidP="0007646F">
            <w:pPr>
              <w:spacing w:after="0" w:line="240" w:lineRule="auto"/>
              <w:jc w:val="center"/>
              <w:rPr>
                <w:rFonts w:ascii="Times New Roman" w:eastAsia="Times New Roman" w:hAnsi="Times New Roman" w:cs="Times New Roman"/>
                <w:b/>
                <w:bCs/>
                <w:kern w:val="0"/>
                <w14:ligatures w14:val="none"/>
              </w:rPr>
            </w:pPr>
            <w:r w:rsidRPr="0007646F">
              <w:rPr>
                <w:rFonts w:ascii="Times New Roman" w:eastAsia="Times New Roman" w:hAnsi="Times New Roman" w:cs="Times New Roman"/>
                <w:b/>
                <w:bCs/>
                <w:kern w:val="0"/>
                <w14:ligatures w14:val="none"/>
              </w:rPr>
              <w:lastRenderedPageBreak/>
              <w:t>Feature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79E3A9" w14:textId="77777777" w:rsidR="0007646F" w:rsidRPr="0007646F" w:rsidRDefault="0007646F" w:rsidP="0007646F">
            <w:pPr>
              <w:spacing w:after="0" w:line="240" w:lineRule="auto"/>
              <w:jc w:val="center"/>
              <w:rPr>
                <w:rFonts w:ascii="Times New Roman" w:eastAsia="Times New Roman" w:hAnsi="Times New Roman" w:cs="Times New Roman"/>
                <w:b/>
                <w:bCs/>
                <w:kern w:val="0"/>
                <w14:ligatures w14:val="none"/>
              </w:rPr>
            </w:pPr>
            <w:r w:rsidRPr="0007646F">
              <w:rPr>
                <w:rFonts w:ascii="Times New Roman" w:eastAsia="Times New Roman" w:hAnsi="Times New Roman" w:cs="Times New Roman"/>
                <w:b/>
                <w:bCs/>
                <w:kern w:val="0"/>
                <w14:ligatures w14:val="none"/>
              </w:rPr>
              <w:t>PEP + NTP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1FD16A" w14:textId="77777777" w:rsidR="0007646F" w:rsidRPr="0007646F" w:rsidRDefault="0007646F" w:rsidP="0007646F">
            <w:pPr>
              <w:spacing w:after="0" w:line="240" w:lineRule="auto"/>
              <w:jc w:val="center"/>
              <w:rPr>
                <w:rFonts w:ascii="Times New Roman" w:eastAsia="Times New Roman" w:hAnsi="Times New Roman" w:cs="Times New Roman"/>
                <w:b/>
                <w:bCs/>
                <w:kern w:val="0"/>
                <w14:ligatures w14:val="none"/>
              </w:rPr>
            </w:pPr>
            <w:r w:rsidRPr="0007646F">
              <w:rPr>
                <w:rFonts w:ascii="Times New Roman" w:eastAsia="Times New Roman" w:hAnsi="Times New Roman" w:cs="Times New Roman"/>
                <w:b/>
                <w:bCs/>
                <w:kern w:val="0"/>
                <w14:ligatures w14:val="none"/>
              </w:rPr>
              <w:t>Ribose + NMP</w:t>
            </w:r>
          </w:p>
        </w:tc>
      </w:tr>
      <w:tr w:rsidR="0007646F" w:rsidRPr="0007646F" w14:paraId="15EAA92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8C380E"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Energy source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4F3B0B"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PEP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98D330"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Ribose-based metabolism</w:t>
            </w:r>
          </w:p>
        </w:tc>
      </w:tr>
      <w:tr w:rsidR="0007646F" w:rsidRPr="0007646F" w14:paraId="5E63C8A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676F3E"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Nucleotide source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237AF6"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ATP, GTP, CTP, UTP directly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30F640"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AMP, CMP, GMP, UMP</w:t>
            </w:r>
          </w:p>
        </w:tc>
      </w:tr>
      <w:tr w:rsidR="0007646F" w:rsidRPr="0007646F" w14:paraId="347A47B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154226"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Cost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978E57"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Higher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3C4D9C"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Lower</w:t>
            </w:r>
          </w:p>
        </w:tc>
      </w:tr>
      <w:tr w:rsidR="0007646F" w:rsidRPr="0007646F" w14:paraId="1A55374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1F1758"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Complexity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CF6436"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Simpler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442BE7"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More complex</w:t>
            </w:r>
          </w:p>
        </w:tc>
      </w:tr>
      <w:tr w:rsidR="0007646F" w:rsidRPr="0007646F" w14:paraId="01E10F3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366A05"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Typical goal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8E29BF"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Maximum expression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E43564"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Cost reduction and sustainability</w:t>
            </w:r>
          </w:p>
        </w:tc>
      </w:tr>
    </w:tbl>
    <w:p w14:paraId="3211EC01" w14:textId="77777777" w:rsidR="0007646F" w:rsidRPr="0007646F" w:rsidRDefault="00076373" w:rsidP="0007646F">
      <w:pPr>
        <w:spacing w:after="0" w:line="300" w:lineRule="atLeast"/>
        <w:rPr>
          <w:rFonts w:ascii="Segoe UI" w:eastAsia="Times New Roman" w:hAnsi="Segoe UI" w:cs="Segoe UI"/>
          <w:kern w:val="0"/>
          <w:sz w:val="21"/>
          <w:szCs w:val="21"/>
          <w14:ligatures w14:val="none"/>
        </w:rPr>
      </w:pPr>
      <w:r w:rsidRPr="00076373">
        <w:rPr>
          <w:rFonts w:ascii="Segoe UI" w:eastAsia="Times New Roman" w:hAnsi="Segoe UI" w:cs="Segoe UI"/>
          <w:noProof/>
          <w:kern w:val="0"/>
          <w:sz w:val="21"/>
          <w:szCs w:val="21"/>
        </w:rPr>
        <w:pict w14:anchorId="1360AFFE">
          <v:rect id="_x0000_i1027" style="width:0;height:1.5pt" o:hralign="center" o:hrstd="t" o:hr="t" fillcolor="#a0a0a0" stroked="f"/>
        </w:pict>
      </w:r>
    </w:p>
    <w:p w14:paraId="7497A43A" w14:textId="77777777" w:rsidR="0007646F" w:rsidRPr="0007646F" w:rsidRDefault="0007646F" w:rsidP="0007646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7646F">
        <w:rPr>
          <w:rFonts w:ascii="Segoe UI" w:eastAsia="Times New Roman" w:hAnsi="Segoe UI" w:cs="Segoe UI"/>
          <w:b/>
          <w:bCs/>
          <w:kern w:val="0"/>
          <w:sz w:val="27"/>
          <w:szCs w:val="27"/>
          <w14:ligatures w14:val="none"/>
        </w:rPr>
        <w:t>3. Choose two cell-free reaction compositions from the literature, compare and contrast the choice of reagents and the concentration of reagents.</w:t>
      </w:r>
    </w:p>
    <w:p w14:paraId="788428F2" w14:textId="77777777" w:rsidR="0007646F" w:rsidRPr="0007646F" w:rsidRDefault="0007646F" w:rsidP="0007646F">
      <w:pPr>
        <w:spacing w:before="100" w:beforeAutospacing="1" w:after="100" w:afterAutospacing="1" w:line="300" w:lineRule="atLeast"/>
        <w:outlineLvl w:val="3"/>
        <w:rPr>
          <w:rFonts w:ascii="Segoe UI" w:eastAsia="Times New Roman" w:hAnsi="Segoe UI" w:cs="Segoe UI"/>
          <w:b/>
          <w:bCs/>
          <w:kern w:val="0"/>
          <w14:ligatures w14:val="none"/>
        </w:rPr>
      </w:pPr>
      <w:r w:rsidRPr="0007646F">
        <w:rPr>
          <w:rFonts w:ascii="Segoe UI" w:eastAsia="Times New Roman" w:hAnsi="Segoe UI" w:cs="Segoe UI"/>
          <w:b/>
          <w:bCs/>
          <w:kern w:val="0"/>
          <w14:ligatures w14:val="none"/>
        </w:rPr>
        <w:t>Composition 1: Traditional PEP-Based CFPS (Yang et al. protocol)</w:t>
      </w:r>
    </w:p>
    <w:p w14:paraId="0123D111"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This widely used formulation contains:</w:t>
      </w:r>
    </w:p>
    <w:p w14:paraId="5618241C" w14:textId="77777777" w:rsidR="0007646F" w:rsidRPr="0007646F" w:rsidRDefault="0007646F" w:rsidP="0007646F">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PEP as the ATP regeneration system</w:t>
      </w:r>
    </w:p>
    <w:p w14:paraId="772E2315" w14:textId="77777777" w:rsidR="0007646F" w:rsidRPr="0007646F" w:rsidRDefault="0007646F" w:rsidP="0007646F">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Nucleotide triphosphates (ATP, GTP, CTP, UTP)</w:t>
      </w:r>
    </w:p>
    <w:p w14:paraId="4004CAEC" w14:textId="77777777" w:rsidR="0007646F" w:rsidRPr="0007646F" w:rsidRDefault="0007646F" w:rsidP="0007646F">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Potassium glutamate</w:t>
      </w:r>
    </w:p>
    <w:p w14:paraId="12E9A7F6" w14:textId="77777777" w:rsidR="0007646F" w:rsidRPr="0007646F" w:rsidRDefault="0007646F" w:rsidP="0007646F">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Magnesium glutamate</w:t>
      </w:r>
    </w:p>
    <w:p w14:paraId="28DD553F" w14:textId="77777777" w:rsidR="0007646F" w:rsidRPr="0007646F" w:rsidRDefault="0007646F" w:rsidP="0007646F">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Amino acids</w:t>
      </w:r>
    </w:p>
    <w:p w14:paraId="4E1C134C" w14:textId="77777777" w:rsidR="0007646F" w:rsidRPr="0007646F" w:rsidRDefault="0007646F" w:rsidP="0007646F">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Folinic acid</w:t>
      </w:r>
    </w:p>
    <w:p w14:paraId="261D3A67"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 xml:space="preserve">Reported magnesium glutamate concentrations are typically optimized around </w:t>
      </w:r>
      <w:r w:rsidRPr="0007646F">
        <w:rPr>
          <w:rFonts w:ascii="Segoe UI" w:eastAsia="Times New Roman" w:hAnsi="Segoe UI" w:cs="Segoe UI"/>
          <w:b/>
          <w:bCs/>
          <w:kern w:val="0"/>
          <w:sz w:val="21"/>
          <w:szCs w:val="21"/>
          <w14:ligatures w14:val="none"/>
        </w:rPr>
        <w:t>10-20 mM</w:t>
      </w:r>
      <w:r w:rsidRPr="0007646F">
        <w:rPr>
          <w:rFonts w:ascii="Segoe UI" w:eastAsia="Times New Roman" w:hAnsi="Segoe UI" w:cs="Segoe UI"/>
          <w:kern w:val="0"/>
          <w:sz w:val="21"/>
          <w:szCs w:val="21"/>
          <w14:ligatures w14:val="none"/>
        </w:rPr>
        <w:t xml:space="preserve">, while potassium glutamate is present at substantially higher concentrations to provide the ionic environment needed for translation. </w:t>
      </w:r>
      <w:hyperlink r:id="rId14" w:history="1">
        <w:r w:rsidRPr="0007646F">
          <w:rPr>
            <w:rFonts w:ascii="Segoe UI" w:eastAsia="Times New Roman" w:hAnsi="Segoe UI" w:cs="Segoe UI"/>
            <w:color w:val="464FEB"/>
            <w:kern w:val="0"/>
            <w:sz w:val="21"/>
            <w:szCs w:val="21"/>
            <w14:ligatures w14:val="none"/>
          </w:rPr>
          <w:t>[s3.amazonaws.com]</w:t>
        </w:r>
      </w:hyperlink>
    </w:p>
    <w:p w14:paraId="4A565B8E"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Strengths</w:t>
      </w:r>
    </w:p>
    <w:p w14:paraId="6E034421" w14:textId="77777777" w:rsidR="0007646F" w:rsidRPr="0007646F" w:rsidRDefault="0007646F" w:rsidP="0007646F">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High protein productivity</w:t>
      </w:r>
    </w:p>
    <w:p w14:paraId="0E599543" w14:textId="77777777" w:rsidR="0007646F" w:rsidRPr="0007646F" w:rsidRDefault="0007646F" w:rsidP="0007646F">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Fast expression</w:t>
      </w:r>
    </w:p>
    <w:p w14:paraId="1DBFD4C7" w14:textId="77777777" w:rsidR="0007646F" w:rsidRPr="0007646F" w:rsidRDefault="0007646F" w:rsidP="0007646F">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Reliable and well characterized</w:t>
      </w:r>
    </w:p>
    <w:p w14:paraId="63529AED"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Weaknesses</w:t>
      </w:r>
    </w:p>
    <w:p w14:paraId="730E5E9F" w14:textId="77777777" w:rsidR="0007646F" w:rsidRPr="0007646F" w:rsidRDefault="0007646F" w:rsidP="0007646F">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Uses expensive NTPs</w:t>
      </w:r>
    </w:p>
    <w:p w14:paraId="0950E284" w14:textId="77777777" w:rsidR="0007646F" w:rsidRPr="0007646F" w:rsidRDefault="0007646F" w:rsidP="0007646F">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Uses expensive PEP</w:t>
      </w:r>
    </w:p>
    <w:p w14:paraId="7F0E92E1" w14:textId="77777777" w:rsidR="0007646F" w:rsidRPr="0007646F" w:rsidRDefault="0007646F" w:rsidP="0007646F">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 xml:space="preserve">Phosphate accumulation can reduce performance over time </w:t>
      </w:r>
      <w:hyperlink r:id="rId15" w:history="1">
        <w:r w:rsidRPr="0007646F">
          <w:rPr>
            <w:rFonts w:ascii="Segoe UI" w:eastAsia="Times New Roman" w:hAnsi="Segoe UI" w:cs="Segoe UI"/>
            <w:color w:val="464FEB"/>
            <w:kern w:val="0"/>
            <w:sz w:val="21"/>
            <w:szCs w:val="21"/>
            <w14:ligatures w14:val="none"/>
          </w:rPr>
          <w:t>[pdf.benchchem.com]</w:t>
        </w:r>
      </w:hyperlink>
    </w:p>
    <w:p w14:paraId="6D25B307" w14:textId="77777777" w:rsidR="0007646F" w:rsidRPr="0007646F" w:rsidRDefault="00076373" w:rsidP="0007646F">
      <w:pPr>
        <w:spacing w:after="0" w:line="300" w:lineRule="atLeast"/>
        <w:rPr>
          <w:rFonts w:ascii="Segoe UI" w:eastAsia="Times New Roman" w:hAnsi="Segoe UI" w:cs="Segoe UI"/>
          <w:kern w:val="0"/>
          <w:sz w:val="21"/>
          <w:szCs w:val="21"/>
          <w14:ligatures w14:val="none"/>
        </w:rPr>
      </w:pPr>
      <w:r w:rsidRPr="00076373">
        <w:rPr>
          <w:rFonts w:ascii="Segoe UI" w:eastAsia="Times New Roman" w:hAnsi="Segoe UI" w:cs="Segoe UI"/>
          <w:noProof/>
          <w:kern w:val="0"/>
          <w:sz w:val="21"/>
          <w:szCs w:val="21"/>
        </w:rPr>
        <w:pict w14:anchorId="399994C4">
          <v:rect id="_x0000_i1026" style="width:0;height:1.5pt" o:hralign="center" o:hrstd="t" o:hr="t" fillcolor="#a0a0a0" stroked="f"/>
        </w:pict>
      </w:r>
    </w:p>
    <w:p w14:paraId="5A5205F5" w14:textId="77777777" w:rsidR="0007646F" w:rsidRPr="0007646F" w:rsidRDefault="0007646F" w:rsidP="0007646F">
      <w:pPr>
        <w:spacing w:before="100" w:beforeAutospacing="1" w:after="100" w:afterAutospacing="1" w:line="300" w:lineRule="atLeast"/>
        <w:outlineLvl w:val="3"/>
        <w:rPr>
          <w:rFonts w:ascii="Segoe UI" w:eastAsia="Times New Roman" w:hAnsi="Segoe UI" w:cs="Segoe UI"/>
          <w:b/>
          <w:bCs/>
          <w:kern w:val="0"/>
          <w14:ligatures w14:val="none"/>
        </w:rPr>
      </w:pPr>
      <w:r w:rsidRPr="0007646F">
        <w:rPr>
          <w:rFonts w:ascii="Segoe UI" w:eastAsia="Times New Roman" w:hAnsi="Segoe UI" w:cs="Segoe UI"/>
          <w:b/>
          <w:bCs/>
          <w:kern w:val="0"/>
          <w14:ligatures w14:val="none"/>
        </w:rPr>
        <w:lastRenderedPageBreak/>
        <w:t>Composition 2: Maltodextrin-Based Low-Cost CFPS</w:t>
      </w:r>
    </w:p>
    <w:p w14:paraId="17BB6FEF"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 xml:space="preserve">Wang and Zhang (2009) developed a formulation that replaces PEP with </w:t>
      </w:r>
      <w:r w:rsidRPr="0007646F">
        <w:rPr>
          <w:rFonts w:ascii="Segoe UI" w:eastAsia="Times New Roman" w:hAnsi="Segoe UI" w:cs="Segoe UI"/>
          <w:b/>
          <w:bCs/>
          <w:kern w:val="0"/>
          <w:sz w:val="21"/>
          <w:szCs w:val="21"/>
          <w14:ligatures w14:val="none"/>
        </w:rPr>
        <w:t>maltodextrin</w:t>
      </w:r>
      <w:r w:rsidRPr="0007646F">
        <w:rPr>
          <w:rFonts w:ascii="Segoe UI" w:eastAsia="Times New Roman" w:hAnsi="Segoe UI" w:cs="Segoe UI"/>
          <w:kern w:val="0"/>
          <w:sz w:val="21"/>
          <w:szCs w:val="21"/>
          <w14:ligatures w14:val="none"/>
        </w:rPr>
        <w:t xml:space="preserve">, which is slowly metabolized to regenerate ATP. The system still contains essential salts, amino acids, and cofactors but relies on carbon metabolism rather than a high-energy phosphate donor. The authors reported that maltodextrin produced higher protein levels than PEP, glucose, or glucose-6-phosphate in their experiments. </w:t>
      </w:r>
      <w:hyperlink r:id="rId16" w:history="1">
        <w:r w:rsidRPr="0007646F">
          <w:rPr>
            <w:rFonts w:ascii="Segoe UI" w:eastAsia="Times New Roman" w:hAnsi="Segoe UI" w:cs="Segoe UI"/>
            <w:color w:val="464FEB"/>
            <w:kern w:val="0"/>
            <w:sz w:val="21"/>
            <w:szCs w:val="21"/>
            <w14:ligatures w14:val="none"/>
          </w:rPr>
          <w:t>[pmc.ncbi.nlm.nih.gov]</w:t>
        </w:r>
      </w:hyperlink>
      <w:r w:rsidRPr="0007646F">
        <w:rPr>
          <w:rFonts w:ascii="Segoe UI" w:eastAsia="Times New Roman" w:hAnsi="Segoe UI" w:cs="Segoe UI"/>
          <w:kern w:val="0"/>
          <w:sz w:val="21"/>
          <w:szCs w:val="21"/>
          <w14:ligatures w14:val="none"/>
        </w:rPr>
        <w:t xml:space="preserve">, </w:t>
      </w:r>
      <w:hyperlink r:id="rId17" w:history="1">
        <w:r w:rsidRPr="0007646F">
          <w:rPr>
            <w:rFonts w:ascii="Segoe UI" w:eastAsia="Times New Roman" w:hAnsi="Segoe UI" w:cs="Segoe UI"/>
            <w:color w:val="464FEB"/>
            <w:kern w:val="0"/>
            <w:sz w:val="21"/>
            <w:szCs w:val="21"/>
            <w14:ligatures w14:val="none"/>
          </w:rPr>
          <w:t>[vtechworks...lib.vt.edu]</w:t>
        </w:r>
      </w:hyperlink>
    </w:p>
    <w:p w14:paraId="0CC1D4D5"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Strengths</w:t>
      </w:r>
    </w:p>
    <w:p w14:paraId="030E9AEB" w14:textId="77777777" w:rsidR="0007646F" w:rsidRPr="0007646F" w:rsidRDefault="0007646F" w:rsidP="0007646F">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Lower-cost energy source</w:t>
      </w:r>
    </w:p>
    <w:p w14:paraId="6259CAF0" w14:textId="77777777" w:rsidR="0007646F" w:rsidRPr="0007646F" w:rsidRDefault="0007646F" w:rsidP="0007646F">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Better phosphate control</w:t>
      </w:r>
    </w:p>
    <w:p w14:paraId="29CB416B" w14:textId="77777777" w:rsidR="0007646F" w:rsidRPr="0007646F" w:rsidRDefault="0007646F" w:rsidP="0007646F">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Longer-lasting reaction environment</w:t>
      </w:r>
    </w:p>
    <w:p w14:paraId="75996362" w14:textId="77777777" w:rsidR="0007646F" w:rsidRPr="0007646F" w:rsidRDefault="0007646F" w:rsidP="0007646F">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 xml:space="preserve">Improved protein yields in the reported study </w:t>
      </w:r>
      <w:hyperlink r:id="rId18" w:history="1">
        <w:r w:rsidRPr="0007646F">
          <w:rPr>
            <w:rFonts w:ascii="Segoe UI" w:eastAsia="Times New Roman" w:hAnsi="Segoe UI" w:cs="Segoe UI"/>
            <w:color w:val="464FEB"/>
            <w:kern w:val="0"/>
            <w:sz w:val="21"/>
            <w:szCs w:val="21"/>
            <w14:ligatures w14:val="none"/>
          </w:rPr>
          <w:t>[pmc.ncbi.nlm.nih.gov]</w:t>
        </w:r>
      </w:hyperlink>
      <w:r w:rsidRPr="0007646F">
        <w:rPr>
          <w:rFonts w:ascii="Segoe UI" w:eastAsia="Times New Roman" w:hAnsi="Segoe UI" w:cs="Segoe UI"/>
          <w:kern w:val="0"/>
          <w:sz w:val="21"/>
          <w:szCs w:val="21"/>
          <w14:ligatures w14:val="none"/>
        </w:rPr>
        <w:t xml:space="preserve">, </w:t>
      </w:r>
      <w:hyperlink r:id="rId19" w:history="1">
        <w:r w:rsidRPr="0007646F">
          <w:rPr>
            <w:rFonts w:ascii="Segoe UI" w:eastAsia="Times New Roman" w:hAnsi="Segoe UI" w:cs="Segoe UI"/>
            <w:color w:val="464FEB"/>
            <w:kern w:val="0"/>
            <w:sz w:val="21"/>
            <w:szCs w:val="21"/>
            <w14:ligatures w14:val="none"/>
          </w:rPr>
          <w:t>[vtechworks...lib.vt.edu]</w:t>
        </w:r>
      </w:hyperlink>
    </w:p>
    <w:p w14:paraId="1886ABAD"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Weaknesses</w:t>
      </w:r>
    </w:p>
    <w:p w14:paraId="0174D61B" w14:textId="77777777" w:rsidR="0007646F" w:rsidRPr="0007646F" w:rsidRDefault="0007646F" w:rsidP="0007646F">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More dependent on endogenous metabolic pathways</w:t>
      </w:r>
    </w:p>
    <w:p w14:paraId="7A467D82" w14:textId="77777777" w:rsidR="0007646F" w:rsidRPr="0007646F" w:rsidRDefault="0007646F" w:rsidP="0007646F">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More complex energy regeneration mechanism</w:t>
      </w:r>
    </w:p>
    <w:p w14:paraId="7D49CACD" w14:textId="77777777" w:rsidR="0007646F" w:rsidRPr="0007646F" w:rsidRDefault="00076373" w:rsidP="0007646F">
      <w:pPr>
        <w:spacing w:after="0" w:line="300" w:lineRule="atLeast"/>
        <w:rPr>
          <w:rFonts w:ascii="Segoe UI" w:eastAsia="Times New Roman" w:hAnsi="Segoe UI" w:cs="Segoe UI"/>
          <w:kern w:val="0"/>
          <w:sz w:val="21"/>
          <w:szCs w:val="21"/>
          <w14:ligatures w14:val="none"/>
        </w:rPr>
      </w:pPr>
      <w:r w:rsidRPr="00076373">
        <w:rPr>
          <w:rFonts w:ascii="Segoe UI" w:eastAsia="Times New Roman" w:hAnsi="Segoe UI" w:cs="Segoe UI"/>
          <w:noProof/>
          <w:kern w:val="0"/>
          <w:sz w:val="21"/>
          <w:szCs w:val="21"/>
        </w:rPr>
        <w:pict w14:anchorId="0DBEB8B1">
          <v:rect id="_x0000_i1025" style="width:0;height:1.5pt" o:hralign="center" o:hrstd="t" o:hr="t" fillcolor="#a0a0a0" stroked="f"/>
        </w:pict>
      </w:r>
    </w:p>
    <w:p w14:paraId="12F61954" w14:textId="77777777" w:rsidR="0007646F" w:rsidRPr="0007646F" w:rsidRDefault="0007646F" w:rsidP="0007646F">
      <w:pPr>
        <w:spacing w:before="100" w:beforeAutospacing="1" w:after="100" w:afterAutospacing="1" w:line="300" w:lineRule="atLeast"/>
        <w:outlineLvl w:val="3"/>
        <w:rPr>
          <w:rFonts w:ascii="Segoe UI" w:eastAsia="Times New Roman" w:hAnsi="Segoe UI" w:cs="Segoe UI"/>
          <w:b/>
          <w:bCs/>
          <w:kern w:val="0"/>
          <w14:ligatures w14:val="none"/>
        </w:rPr>
      </w:pPr>
      <w:r w:rsidRPr="0007646F">
        <w:rPr>
          <w:rFonts w:ascii="Segoe UI" w:eastAsia="Times New Roman" w:hAnsi="Segoe UI" w:cs="Segoe UI"/>
          <w:b/>
          <w:bCs/>
          <w:kern w:val="0"/>
          <w14:ligatures w14:val="none"/>
        </w:rPr>
        <w:t>Comparison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8"/>
        <w:gridCol w:w="3223"/>
        <w:gridCol w:w="3311"/>
      </w:tblGrid>
      <w:tr w:rsidR="0007646F" w:rsidRPr="0007646F" w14:paraId="1018DC9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3672ED" w14:textId="77777777" w:rsidR="0007646F" w:rsidRPr="0007646F" w:rsidRDefault="0007646F" w:rsidP="0007646F">
            <w:pPr>
              <w:spacing w:after="0" w:line="240" w:lineRule="auto"/>
              <w:jc w:val="center"/>
              <w:rPr>
                <w:rFonts w:ascii="Times New Roman" w:eastAsia="Times New Roman" w:hAnsi="Times New Roman" w:cs="Times New Roman"/>
                <w:b/>
                <w:bCs/>
                <w:kern w:val="0"/>
                <w14:ligatures w14:val="none"/>
              </w:rPr>
            </w:pPr>
            <w:r w:rsidRPr="0007646F">
              <w:rPr>
                <w:rFonts w:ascii="Times New Roman" w:eastAsia="Times New Roman" w:hAnsi="Times New Roman" w:cs="Times New Roman"/>
                <w:b/>
                <w:bCs/>
                <w:kern w:val="0"/>
                <w14:ligatures w14:val="none"/>
              </w:rPr>
              <w:t>Feature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E3A58B" w14:textId="77777777" w:rsidR="0007646F" w:rsidRPr="0007646F" w:rsidRDefault="0007646F" w:rsidP="0007646F">
            <w:pPr>
              <w:spacing w:after="0" w:line="240" w:lineRule="auto"/>
              <w:jc w:val="center"/>
              <w:rPr>
                <w:rFonts w:ascii="Times New Roman" w:eastAsia="Times New Roman" w:hAnsi="Times New Roman" w:cs="Times New Roman"/>
                <w:b/>
                <w:bCs/>
                <w:kern w:val="0"/>
                <w14:ligatures w14:val="none"/>
              </w:rPr>
            </w:pPr>
            <w:r w:rsidRPr="0007646F">
              <w:rPr>
                <w:rFonts w:ascii="Times New Roman" w:eastAsia="Times New Roman" w:hAnsi="Times New Roman" w:cs="Times New Roman"/>
                <w:b/>
                <w:bCs/>
                <w:kern w:val="0"/>
                <w14:ligatures w14:val="none"/>
              </w:rPr>
              <w:t>Traditional PEP-Based CFPS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52AF38" w14:textId="77777777" w:rsidR="0007646F" w:rsidRPr="0007646F" w:rsidRDefault="0007646F" w:rsidP="0007646F">
            <w:pPr>
              <w:spacing w:after="0" w:line="240" w:lineRule="auto"/>
              <w:jc w:val="center"/>
              <w:rPr>
                <w:rFonts w:ascii="Times New Roman" w:eastAsia="Times New Roman" w:hAnsi="Times New Roman" w:cs="Times New Roman"/>
                <w:b/>
                <w:bCs/>
                <w:kern w:val="0"/>
                <w14:ligatures w14:val="none"/>
              </w:rPr>
            </w:pPr>
            <w:r w:rsidRPr="0007646F">
              <w:rPr>
                <w:rFonts w:ascii="Times New Roman" w:eastAsia="Times New Roman" w:hAnsi="Times New Roman" w:cs="Times New Roman"/>
                <w:b/>
                <w:bCs/>
                <w:kern w:val="0"/>
                <w14:ligatures w14:val="none"/>
              </w:rPr>
              <w:t>Maltodextrin-Based CFPS</w:t>
            </w:r>
          </w:p>
        </w:tc>
      </w:tr>
      <w:tr w:rsidR="0007646F" w:rsidRPr="0007646F" w14:paraId="55A0DF2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D2B617"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Energy source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A05D28"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PEP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22A857"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Maltodextrin</w:t>
            </w:r>
          </w:p>
        </w:tc>
      </w:tr>
      <w:tr w:rsidR="0007646F" w:rsidRPr="0007646F" w14:paraId="5FA56C4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9DDB4C"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Nucleotide strategy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F2BD51"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Usually NTPs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558394"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Can utilize endogenous recycling</w:t>
            </w:r>
          </w:p>
        </w:tc>
      </w:tr>
      <w:tr w:rsidR="0007646F" w:rsidRPr="0007646F" w14:paraId="1C05D04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36C8E3"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Cost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C58D0D"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Higher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C0E45E"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Lower</w:t>
            </w:r>
          </w:p>
        </w:tc>
      </w:tr>
      <w:tr w:rsidR="0007646F" w:rsidRPr="0007646F" w14:paraId="4B5A63F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13FD73"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ATP generation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EEED75"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Direct substrate phosphorylation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1882AF"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Glycolytic metabolism</w:t>
            </w:r>
          </w:p>
        </w:tc>
      </w:tr>
      <w:tr w:rsidR="0007646F" w:rsidRPr="0007646F" w14:paraId="1790624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B9E640"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Reaction duration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C31831"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Shorter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83DBB5"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Longer</w:t>
            </w:r>
          </w:p>
        </w:tc>
      </w:tr>
      <w:tr w:rsidR="0007646F" w:rsidRPr="0007646F" w14:paraId="26AC11A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1822FB"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Protein production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02BD17"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High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1D0740" w14:textId="77777777" w:rsidR="0007646F" w:rsidRPr="0007646F" w:rsidRDefault="0007646F" w:rsidP="0007646F">
            <w:pPr>
              <w:spacing w:after="0" w:line="240" w:lineRule="auto"/>
              <w:rPr>
                <w:rFonts w:ascii="Times New Roman" w:eastAsia="Times New Roman" w:hAnsi="Times New Roman" w:cs="Times New Roman"/>
                <w:kern w:val="0"/>
                <w14:ligatures w14:val="none"/>
              </w:rPr>
            </w:pPr>
            <w:r w:rsidRPr="0007646F">
              <w:rPr>
                <w:rFonts w:ascii="Times New Roman" w:eastAsia="Times New Roman" w:hAnsi="Times New Roman" w:cs="Times New Roman"/>
                <w:kern w:val="0"/>
                <w14:ligatures w14:val="none"/>
              </w:rPr>
              <w:t>High to higher in reported study</w:t>
            </w:r>
          </w:p>
        </w:tc>
      </w:tr>
    </w:tbl>
    <w:p w14:paraId="322EAAC8"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b/>
          <w:bCs/>
          <w:kern w:val="0"/>
          <w:sz w:val="21"/>
          <w:szCs w:val="21"/>
          <w14:ligatures w14:val="none"/>
        </w:rPr>
        <w:t>Conclusion:</w:t>
      </w:r>
      <w:r w:rsidRPr="0007646F">
        <w:rPr>
          <w:rFonts w:ascii="Segoe UI" w:eastAsia="Times New Roman" w:hAnsi="Segoe UI" w:cs="Segoe UI"/>
          <w:kern w:val="0"/>
          <w:sz w:val="21"/>
          <w:szCs w:val="21"/>
          <w14:ligatures w14:val="none"/>
        </w:rPr>
        <w:t xml:space="preserve"> The traditional PEP-based system prioritizes maximum protein expression and simplicity, whereas the maltodextrin-based system was specifically developed to reduce cost and maintain a more stable reaction environment. For Ginkgo's goal of minimizing </w:t>
      </w:r>
      <w:r w:rsidRPr="0007646F">
        <w:rPr>
          <w:rFonts w:ascii="Segoe UI" w:eastAsia="Times New Roman" w:hAnsi="Segoe UI" w:cs="Segoe UI"/>
          <w:b/>
          <w:bCs/>
          <w:kern w:val="0"/>
          <w:sz w:val="21"/>
          <w:szCs w:val="21"/>
          <w14:ligatures w14:val="none"/>
        </w:rPr>
        <w:t>cost per gram of functional protein</w:t>
      </w:r>
      <w:r w:rsidRPr="0007646F">
        <w:rPr>
          <w:rFonts w:ascii="Segoe UI" w:eastAsia="Times New Roman" w:hAnsi="Segoe UI" w:cs="Segoe UI"/>
          <w:kern w:val="0"/>
          <w:sz w:val="21"/>
          <w:szCs w:val="21"/>
          <w14:ligatures w14:val="none"/>
        </w:rPr>
        <w:t xml:space="preserve">, the maltodextrin/NMP-style approach is particularly attractive because it replaces expensive reagents with cheaper metabolic substrates while maintaining strong protein production. </w:t>
      </w:r>
      <w:hyperlink r:id="rId20" w:history="1">
        <w:r w:rsidRPr="0007646F">
          <w:rPr>
            <w:rFonts w:ascii="Segoe UI" w:eastAsia="Times New Roman" w:hAnsi="Segoe UI" w:cs="Segoe UI"/>
            <w:color w:val="464FEB"/>
            <w:kern w:val="0"/>
            <w:sz w:val="21"/>
            <w:szCs w:val="21"/>
            <w14:ligatures w14:val="none"/>
          </w:rPr>
          <w:t>[pmc.ncbi.nlm.nih.gov]</w:t>
        </w:r>
      </w:hyperlink>
      <w:r w:rsidRPr="0007646F">
        <w:rPr>
          <w:rFonts w:ascii="Segoe UI" w:eastAsia="Times New Roman" w:hAnsi="Segoe UI" w:cs="Segoe UI"/>
          <w:kern w:val="0"/>
          <w:sz w:val="21"/>
          <w:szCs w:val="21"/>
          <w14:ligatures w14:val="none"/>
        </w:rPr>
        <w:t xml:space="preserve">, </w:t>
      </w:r>
      <w:hyperlink r:id="rId21" w:history="1">
        <w:r w:rsidRPr="0007646F">
          <w:rPr>
            <w:rFonts w:ascii="Segoe UI" w:eastAsia="Times New Roman" w:hAnsi="Segoe UI" w:cs="Segoe UI"/>
            <w:color w:val="464FEB"/>
            <w:kern w:val="0"/>
            <w:sz w:val="21"/>
            <w:szCs w:val="21"/>
            <w14:ligatures w14:val="none"/>
          </w:rPr>
          <w:t>[vtechworks...lib.vt.edu]</w:t>
        </w:r>
      </w:hyperlink>
      <w:r w:rsidRPr="0007646F">
        <w:rPr>
          <w:rFonts w:ascii="Segoe UI" w:eastAsia="Times New Roman" w:hAnsi="Segoe UI" w:cs="Segoe UI"/>
          <w:kern w:val="0"/>
          <w:sz w:val="21"/>
          <w:szCs w:val="21"/>
          <w14:ligatures w14:val="none"/>
        </w:rPr>
        <w:t xml:space="preserve">, </w:t>
      </w:r>
      <w:hyperlink r:id="rId22" w:history="1">
        <w:r w:rsidRPr="0007646F">
          <w:rPr>
            <w:rFonts w:ascii="Segoe UI" w:eastAsia="Times New Roman" w:hAnsi="Segoe UI" w:cs="Segoe UI"/>
            <w:color w:val="464FEB"/>
            <w:kern w:val="0"/>
            <w:sz w:val="21"/>
            <w:szCs w:val="21"/>
            <w14:ligatures w14:val="none"/>
          </w:rPr>
          <w:t>[pubs.acs.org]</w:t>
        </w:r>
      </w:hyperlink>
    </w:p>
    <w:p w14:paraId="435A9672" w14:textId="77777777" w:rsidR="0007646F" w:rsidRPr="0007646F" w:rsidRDefault="0007646F" w:rsidP="0007646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7646F">
        <w:rPr>
          <w:rFonts w:ascii="Segoe UI" w:eastAsia="Times New Roman" w:hAnsi="Segoe UI" w:cs="Segoe UI"/>
          <w:b/>
          <w:bCs/>
          <w:kern w:val="0"/>
          <w:sz w:val="27"/>
          <w:szCs w:val="27"/>
          <w14:ligatures w14:val="none"/>
        </w:rPr>
        <w:t>References</w:t>
      </w:r>
    </w:p>
    <w:p w14:paraId="054A5A73"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lastRenderedPageBreak/>
        <w:t xml:space="preserve">Wang, Y., &amp; Zhang, Y.-H. P. (2009). </w:t>
      </w:r>
      <w:r w:rsidRPr="0007646F">
        <w:rPr>
          <w:rFonts w:ascii="Segoe UI" w:eastAsia="Times New Roman" w:hAnsi="Segoe UI" w:cs="Segoe UI"/>
          <w:i/>
          <w:iCs/>
          <w:kern w:val="0"/>
          <w:sz w:val="21"/>
          <w:szCs w:val="21"/>
          <w14:ligatures w14:val="none"/>
        </w:rPr>
        <w:t>Cell-free protein synthesis energized by slowly-metabolized maltodextrin</w:t>
      </w:r>
      <w:r w:rsidRPr="0007646F">
        <w:rPr>
          <w:rFonts w:ascii="Segoe UI" w:eastAsia="Times New Roman" w:hAnsi="Segoe UI" w:cs="Segoe UI"/>
          <w:kern w:val="0"/>
          <w:sz w:val="21"/>
          <w:szCs w:val="21"/>
          <w14:ligatures w14:val="none"/>
        </w:rPr>
        <w:t xml:space="preserve">. BMC Biotechnology, 9, 58. </w:t>
      </w:r>
      <w:hyperlink r:id="rId23" w:history="1">
        <w:r w:rsidRPr="0007646F">
          <w:rPr>
            <w:rFonts w:ascii="Segoe UI" w:eastAsia="Times New Roman" w:hAnsi="Segoe UI" w:cs="Segoe UI"/>
            <w:color w:val="464FEB"/>
            <w:kern w:val="0"/>
            <w:sz w:val="21"/>
            <w:szCs w:val="21"/>
            <w14:ligatures w14:val="none"/>
          </w:rPr>
          <w:t>[pmc.ncbi.nlm.nih.gov]</w:t>
        </w:r>
      </w:hyperlink>
      <w:r w:rsidRPr="0007646F">
        <w:rPr>
          <w:rFonts w:ascii="Segoe UI" w:eastAsia="Times New Roman" w:hAnsi="Segoe UI" w:cs="Segoe UI"/>
          <w:kern w:val="0"/>
          <w:sz w:val="21"/>
          <w:szCs w:val="21"/>
          <w14:ligatures w14:val="none"/>
        </w:rPr>
        <w:t xml:space="preserve">, </w:t>
      </w:r>
      <w:hyperlink r:id="rId24" w:history="1">
        <w:r w:rsidRPr="0007646F">
          <w:rPr>
            <w:rFonts w:ascii="Segoe UI" w:eastAsia="Times New Roman" w:hAnsi="Segoe UI" w:cs="Segoe UI"/>
            <w:color w:val="464FEB"/>
            <w:kern w:val="0"/>
            <w:sz w:val="21"/>
            <w:szCs w:val="21"/>
            <w14:ligatures w14:val="none"/>
          </w:rPr>
          <w:t>[vtechworks...lib.vt.edu]</w:t>
        </w:r>
      </w:hyperlink>
    </w:p>
    <w:p w14:paraId="107CA8C0" w14:textId="77777777" w:rsidR="0007646F" w:rsidRPr="0007646F" w:rsidRDefault="0007646F" w:rsidP="0007646F">
      <w:pPr>
        <w:spacing w:before="100" w:beforeAutospacing="1" w:after="100" w:afterAutospacing="1" w:line="300" w:lineRule="atLeast"/>
        <w:rPr>
          <w:rFonts w:ascii="Segoe UI" w:eastAsia="Times New Roman" w:hAnsi="Segoe UI" w:cs="Segoe UI"/>
          <w:kern w:val="0"/>
          <w:sz w:val="21"/>
          <w:szCs w:val="21"/>
          <w14:ligatures w14:val="none"/>
        </w:rPr>
      </w:pPr>
      <w:r w:rsidRPr="0007646F">
        <w:rPr>
          <w:rFonts w:ascii="Segoe UI" w:eastAsia="Times New Roman" w:hAnsi="Segoe UI" w:cs="Segoe UI"/>
          <w:kern w:val="0"/>
          <w:sz w:val="21"/>
          <w:szCs w:val="21"/>
          <w14:ligatures w14:val="none"/>
        </w:rPr>
        <w:t xml:space="preserve">Yang et al. (2012). </w:t>
      </w:r>
      <w:r w:rsidRPr="0007646F">
        <w:rPr>
          <w:rFonts w:ascii="Segoe UI" w:eastAsia="Times New Roman" w:hAnsi="Segoe UI" w:cs="Segoe UI"/>
          <w:i/>
          <w:iCs/>
          <w:kern w:val="0"/>
          <w:sz w:val="21"/>
          <w:szCs w:val="21"/>
          <w14:ligatures w14:val="none"/>
        </w:rPr>
        <w:t>E. coli cell-free protein synthesis protocol</w:t>
      </w:r>
      <w:r w:rsidRPr="0007646F">
        <w:rPr>
          <w:rFonts w:ascii="Segoe UI" w:eastAsia="Times New Roman" w:hAnsi="Segoe UI" w:cs="Segoe UI"/>
          <w:kern w:val="0"/>
          <w:sz w:val="21"/>
          <w:szCs w:val="21"/>
          <w14:ligatures w14:val="none"/>
        </w:rPr>
        <w:t xml:space="preserve"> (as cited in the Cambridge CFPS preparation guide). </w:t>
      </w:r>
      <w:hyperlink r:id="rId25" w:history="1">
        <w:r w:rsidRPr="0007646F">
          <w:rPr>
            <w:rFonts w:ascii="Segoe UI" w:eastAsia="Times New Roman" w:hAnsi="Segoe UI" w:cs="Segoe UI"/>
            <w:color w:val="464FEB"/>
            <w:kern w:val="0"/>
            <w:sz w:val="21"/>
            <w:szCs w:val="21"/>
            <w14:ligatures w14:val="none"/>
          </w:rPr>
          <w:t>[s3.amazonaws.com]</w:t>
        </w:r>
      </w:hyperlink>
    </w:p>
    <w:p w14:paraId="7D85D9A4" w14:textId="77777777" w:rsidR="0007646F" w:rsidRDefault="0007646F"/>
    <w:sectPr w:rsidR="000764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C0BA1"/>
    <w:multiLevelType w:val="multilevel"/>
    <w:tmpl w:val="940AE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26885"/>
    <w:multiLevelType w:val="multilevel"/>
    <w:tmpl w:val="2BA6D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9734E"/>
    <w:multiLevelType w:val="multilevel"/>
    <w:tmpl w:val="8BCE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819FA"/>
    <w:multiLevelType w:val="multilevel"/>
    <w:tmpl w:val="75A46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265EA"/>
    <w:multiLevelType w:val="multilevel"/>
    <w:tmpl w:val="375C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F68DF"/>
    <w:multiLevelType w:val="multilevel"/>
    <w:tmpl w:val="DC9E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512D3C"/>
    <w:multiLevelType w:val="multilevel"/>
    <w:tmpl w:val="050C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23E45"/>
    <w:multiLevelType w:val="multilevel"/>
    <w:tmpl w:val="2068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0A4DAB"/>
    <w:multiLevelType w:val="multilevel"/>
    <w:tmpl w:val="BDE8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7D7224"/>
    <w:multiLevelType w:val="multilevel"/>
    <w:tmpl w:val="3B04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7C56F8"/>
    <w:multiLevelType w:val="multilevel"/>
    <w:tmpl w:val="6E9C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39700C"/>
    <w:multiLevelType w:val="multilevel"/>
    <w:tmpl w:val="8996A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8D5C10"/>
    <w:multiLevelType w:val="multilevel"/>
    <w:tmpl w:val="497A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6D5EA2"/>
    <w:multiLevelType w:val="multilevel"/>
    <w:tmpl w:val="65421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A90527"/>
    <w:multiLevelType w:val="multilevel"/>
    <w:tmpl w:val="A242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657B91"/>
    <w:multiLevelType w:val="multilevel"/>
    <w:tmpl w:val="7DA0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9B6F7B"/>
    <w:multiLevelType w:val="multilevel"/>
    <w:tmpl w:val="405EC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8E7A77"/>
    <w:multiLevelType w:val="multilevel"/>
    <w:tmpl w:val="EE8AB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70612E"/>
    <w:multiLevelType w:val="multilevel"/>
    <w:tmpl w:val="E800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2470754">
    <w:abstractNumId w:val="8"/>
  </w:num>
  <w:num w:numId="2" w16cid:durableId="284236292">
    <w:abstractNumId w:val="4"/>
  </w:num>
  <w:num w:numId="3" w16cid:durableId="538400263">
    <w:abstractNumId w:val="11"/>
  </w:num>
  <w:num w:numId="4" w16cid:durableId="277833277">
    <w:abstractNumId w:val="17"/>
  </w:num>
  <w:num w:numId="5" w16cid:durableId="1841769363">
    <w:abstractNumId w:val="0"/>
  </w:num>
  <w:num w:numId="6" w16cid:durableId="498234436">
    <w:abstractNumId w:val="15"/>
  </w:num>
  <w:num w:numId="7" w16cid:durableId="818573093">
    <w:abstractNumId w:val="9"/>
  </w:num>
  <w:num w:numId="8" w16cid:durableId="1610237939">
    <w:abstractNumId w:val="16"/>
  </w:num>
  <w:num w:numId="9" w16cid:durableId="1521049379">
    <w:abstractNumId w:val="1"/>
  </w:num>
  <w:num w:numId="10" w16cid:durableId="610161002">
    <w:abstractNumId w:val="6"/>
  </w:num>
  <w:num w:numId="11" w16cid:durableId="1648629624">
    <w:abstractNumId w:val="2"/>
  </w:num>
  <w:num w:numId="12" w16cid:durableId="1921911165">
    <w:abstractNumId w:val="5"/>
  </w:num>
  <w:num w:numId="13" w16cid:durableId="930355838">
    <w:abstractNumId w:val="10"/>
  </w:num>
  <w:num w:numId="14" w16cid:durableId="1238829465">
    <w:abstractNumId w:val="18"/>
  </w:num>
  <w:num w:numId="15" w16cid:durableId="1234969263">
    <w:abstractNumId w:val="13"/>
  </w:num>
  <w:num w:numId="16" w16cid:durableId="318651505">
    <w:abstractNumId w:val="14"/>
  </w:num>
  <w:num w:numId="17" w16cid:durableId="678124638">
    <w:abstractNumId w:val="3"/>
  </w:num>
  <w:num w:numId="18" w16cid:durableId="1235318788">
    <w:abstractNumId w:val="12"/>
  </w:num>
  <w:num w:numId="19" w16cid:durableId="117965581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46F"/>
    <w:rsid w:val="00076373"/>
    <w:rsid w:val="0007646F"/>
    <w:rsid w:val="004215D9"/>
    <w:rsid w:val="00832761"/>
    <w:rsid w:val="00BA76A6"/>
    <w:rsid w:val="00BD5B5C"/>
    <w:rsid w:val="00DF2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FE94E"/>
  <w15:chartTrackingRefBased/>
  <w15:docId w15:val="{95B02708-433D-EA40-BDB4-D1F36D74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64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764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764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764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4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4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4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4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4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4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764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764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764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4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4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4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4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46F"/>
    <w:rPr>
      <w:rFonts w:eastAsiaTheme="majorEastAsia" w:cstheme="majorBidi"/>
      <w:color w:val="272727" w:themeColor="text1" w:themeTint="D8"/>
    </w:rPr>
  </w:style>
  <w:style w:type="paragraph" w:styleId="Title">
    <w:name w:val="Title"/>
    <w:basedOn w:val="Normal"/>
    <w:next w:val="Normal"/>
    <w:link w:val="TitleChar"/>
    <w:uiPriority w:val="10"/>
    <w:qFormat/>
    <w:rsid w:val="000764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4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4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4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46F"/>
    <w:pPr>
      <w:spacing w:before="160"/>
      <w:jc w:val="center"/>
    </w:pPr>
    <w:rPr>
      <w:i/>
      <w:iCs/>
      <w:color w:val="404040" w:themeColor="text1" w:themeTint="BF"/>
    </w:rPr>
  </w:style>
  <w:style w:type="character" w:customStyle="1" w:styleId="QuoteChar">
    <w:name w:val="Quote Char"/>
    <w:basedOn w:val="DefaultParagraphFont"/>
    <w:link w:val="Quote"/>
    <w:uiPriority w:val="29"/>
    <w:rsid w:val="0007646F"/>
    <w:rPr>
      <w:i/>
      <w:iCs/>
      <w:color w:val="404040" w:themeColor="text1" w:themeTint="BF"/>
    </w:rPr>
  </w:style>
  <w:style w:type="paragraph" w:styleId="ListParagraph">
    <w:name w:val="List Paragraph"/>
    <w:basedOn w:val="Normal"/>
    <w:uiPriority w:val="34"/>
    <w:qFormat/>
    <w:rsid w:val="0007646F"/>
    <w:pPr>
      <w:ind w:left="720"/>
      <w:contextualSpacing/>
    </w:pPr>
  </w:style>
  <w:style w:type="character" w:styleId="IntenseEmphasis">
    <w:name w:val="Intense Emphasis"/>
    <w:basedOn w:val="DefaultParagraphFont"/>
    <w:uiPriority w:val="21"/>
    <w:qFormat/>
    <w:rsid w:val="0007646F"/>
    <w:rPr>
      <w:i/>
      <w:iCs/>
      <w:color w:val="0F4761" w:themeColor="accent1" w:themeShade="BF"/>
    </w:rPr>
  </w:style>
  <w:style w:type="paragraph" w:styleId="IntenseQuote">
    <w:name w:val="Intense Quote"/>
    <w:basedOn w:val="Normal"/>
    <w:next w:val="Normal"/>
    <w:link w:val="IntenseQuoteChar"/>
    <w:uiPriority w:val="30"/>
    <w:qFormat/>
    <w:rsid w:val="000764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46F"/>
    <w:rPr>
      <w:i/>
      <w:iCs/>
      <w:color w:val="0F4761" w:themeColor="accent1" w:themeShade="BF"/>
    </w:rPr>
  </w:style>
  <w:style w:type="character" w:styleId="IntenseReference">
    <w:name w:val="Intense Reference"/>
    <w:basedOn w:val="DefaultParagraphFont"/>
    <w:uiPriority w:val="32"/>
    <w:qFormat/>
    <w:rsid w:val="0007646F"/>
    <w:rPr>
      <w:b/>
      <w:bCs/>
      <w:smallCaps/>
      <w:color w:val="0F4761" w:themeColor="accent1" w:themeShade="BF"/>
      <w:spacing w:val="5"/>
    </w:rPr>
  </w:style>
  <w:style w:type="paragraph" w:styleId="NormalWeb">
    <w:name w:val="Normal (Web)"/>
    <w:basedOn w:val="Normal"/>
    <w:uiPriority w:val="99"/>
    <w:semiHidden/>
    <w:unhideWhenUsed/>
    <w:rsid w:val="0007646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7646F"/>
    <w:rPr>
      <w:b/>
      <w:bCs/>
    </w:rPr>
  </w:style>
  <w:style w:type="character" w:styleId="Emphasis">
    <w:name w:val="Emphasis"/>
    <w:basedOn w:val="DefaultParagraphFont"/>
    <w:uiPriority w:val="20"/>
    <w:qFormat/>
    <w:rsid w:val="0007646F"/>
    <w:rPr>
      <w:i/>
      <w:iCs/>
    </w:rPr>
  </w:style>
  <w:style w:type="character" w:styleId="Hyperlink">
    <w:name w:val="Hyperlink"/>
    <w:basedOn w:val="DefaultParagraphFont"/>
    <w:uiPriority w:val="99"/>
    <w:semiHidden/>
    <w:unhideWhenUsed/>
    <w:rsid w:val="0007646F"/>
    <w:rPr>
      <w:strike w:val="0"/>
      <w:dstrike w:val="0"/>
      <w:color w:val="464FEB"/>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amazonaws.com/protocols-files/public/ed23ec20ed285b333144e778015ea89de24766fe69e3f46267b9ff8fadfa41dd/cefr3riw.pdf" TargetMode="External"/><Relationship Id="rId13" Type="http://schemas.openxmlformats.org/officeDocument/2006/relationships/hyperlink" Target="https://pubs.acs.org/doi/pdf/10.1021/acssynbio.1c00342" TargetMode="External"/><Relationship Id="rId18" Type="http://schemas.openxmlformats.org/officeDocument/2006/relationships/hyperlink" Target="https://pmc.ncbi.nlm.nih.gov/articles/PMC2716334/"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vtechworks.lib.vt.edu/items/50e8e9ef-8b7f-4e94-a18b-585508ef5501" TargetMode="External"/><Relationship Id="rId7" Type="http://schemas.openxmlformats.org/officeDocument/2006/relationships/hyperlink" Target="https://s3.amazonaws.com/protocols-files/public/ed23ec20ed285b333144e778015ea89de24766fe69e3f46267b9ff8fadfa41dd/cefr3riw.pdf" TargetMode="External"/><Relationship Id="rId12" Type="http://schemas.openxmlformats.org/officeDocument/2006/relationships/hyperlink" Target="https://pages.htgaa.org/2026a/james-utley/homework/week-11-hw-cloud-laboratories/index.html" TargetMode="External"/><Relationship Id="rId17" Type="http://schemas.openxmlformats.org/officeDocument/2006/relationships/hyperlink" Target="https://vtechworks.lib.vt.edu/items/50e8e9ef-8b7f-4e94-a18b-585508ef5501" TargetMode="External"/><Relationship Id="rId25" Type="http://schemas.openxmlformats.org/officeDocument/2006/relationships/hyperlink" Target="https://s3.amazonaws.com/protocols-files/public/ed23ec20ed285b333144e778015ea89de24766fe69e3f46267b9ff8fadfa41dd/cefr3riw.pdf" TargetMode="External"/><Relationship Id="rId2" Type="http://schemas.openxmlformats.org/officeDocument/2006/relationships/styles" Target="styles.xml"/><Relationship Id="rId16" Type="http://schemas.openxmlformats.org/officeDocument/2006/relationships/hyperlink" Target="https://pmc.ncbi.nlm.nih.gov/articles/PMC2716334/" TargetMode="External"/><Relationship Id="rId20" Type="http://schemas.openxmlformats.org/officeDocument/2006/relationships/hyperlink" Target="https://pmc.ncbi.nlm.nih.gov/articles/PMC2716334/" TargetMode="External"/><Relationship Id="rId1" Type="http://schemas.openxmlformats.org/officeDocument/2006/relationships/numbering" Target="numbering.xml"/><Relationship Id="rId6" Type="http://schemas.openxmlformats.org/officeDocument/2006/relationships/hyperlink" Target="https://s3.amazonaws.com/protocols-files/public/ed23ec20ed285b333144e778015ea89de24766fe69e3f46267b9ff8fadfa41dd/cefr3riw.pdf" TargetMode="External"/><Relationship Id="rId11" Type="http://schemas.openxmlformats.org/officeDocument/2006/relationships/hyperlink" Target="https://pdf.benchchem.com/93/Application_Notes_and_Protocols_Cell_Free_Protein_Synthesis_with_a_Phosphoenolpyruvate_PEP_Energy_Source.pdf" TargetMode="External"/><Relationship Id="rId24" Type="http://schemas.openxmlformats.org/officeDocument/2006/relationships/hyperlink" Target="https://vtechworks.lib.vt.edu/items/50e8e9ef-8b7f-4e94-a18b-585508ef5501" TargetMode="External"/><Relationship Id="rId5" Type="http://schemas.openxmlformats.org/officeDocument/2006/relationships/hyperlink" Target="https://pages.htgaa.org/2026a/james-utley/homework/week-11-hw-cloud-laboratories/index.html" TargetMode="External"/><Relationship Id="rId15" Type="http://schemas.openxmlformats.org/officeDocument/2006/relationships/hyperlink" Target="https://pdf.benchchem.com/93/Application_Notes_and_Protocols_Cell_Free_Protein_Synthesis_with_a_Phosphoenolpyruvate_PEP_Energy_Source.pdf" TargetMode="External"/><Relationship Id="rId23" Type="http://schemas.openxmlformats.org/officeDocument/2006/relationships/hyperlink" Target="https://pmc.ncbi.nlm.nih.gov/articles/PMC2716334/" TargetMode="External"/><Relationship Id="rId10" Type="http://schemas.openxmlformats.org/officeDocument/2006/relationships/hyperlink" Target="https://pdf.benchchem.com/93/Application_Notes_and_Protocols_Cell_Free_Protein_Synthesis_with_a_Phosphoenolpyruvate_PEP_Energy_Source.pdf" TargetMode="External"/><Relationship Id="rId19" Type="http://schemas.openxmlformats.org/officeDocument/2006/relationships/hyperlink" Target="https://vtechworks.lib.vt.edu/items/50e8e9ef-8b7f-4e94-a18b-585508ef5501" TargetMode="External"/><Relationship Id="rId4" Type="http://schemas.openxmlformats.org/officeDocument/2006/relationships/webSettings" Target="webSettings.xml"/><Relationship Id="rId9" Type="http://schemas.openxmlformats.org/officeDocument/2006/relationships/hyperlink" Target="https://pages.htgaa.org/2026a/james-utley/homework/week-11-hw-cloud-laboratories/index.html" TargetMode="External"/><Relationship Id="rId14" Type="http://schemas.openxmlformats.org/officeDocument/2006/relationships/hyperlink" Target="https://s3.amazonaws.com/protocols-files/public/ed23ec20ed285b333144e778015ea89de24766fe69e3f46267b9ff8fadfa41dd/cefr3riw.pdf" TargetMode="External"/><Relationship Id="rId22" Type="http://schemas.openxmlformats.org/officeDocument/2006/relationships/hyperlink" Target="https://pubs.acs.org/doi/pdf/10.1021/acssynbio.1c00342"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2172</Words>
  <Characters>12383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Nalikka, Ashley B</dc:creator>
  <cp:keywords/>
  <dc:description/>
  <cp:lastModifiedBy>Nalikka, Ashley B</cp:lastModifiedBy>
  <cp:revision>1</cp:revision>
  <dcterms:created xsi:type="dcterms:W3CDTF">2026-10-06T10:45:00Z</dcterms:created>
  <dcterms:modified xsi:type="dcterms:W3CDTF">2026-10-06T11:57:00Z</dcterms:modified>
</cp:coreProperties>
</file>